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14FCD4BB"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421175">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4279BBE9"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comments and consider</w:t>
      </w:r>
      <w:r w:rsidR="00421175">
        <w:rPr>
          <w:rFonts w:ascii="Arial" w:hAnsi="Arial" w:cs="Arial"/>
          <w:sz w:val="24"/>
          <w:szCs w:val="24"/>
        </w:rPr>
        <w:t xml:space="preserve"> the</w:t>
      </w:r>
      <w:r w:rsidRPr="00DA0092">
        <w:rPr>
          <w:rFonts w:ascii="Arial" w:hAnsi="Arial" w:cs="Arial"/>
          <w:sz w:val="24"/>
          <w:szCs w:val="24"/>
        </w:rPr>
        <w:t xml:space="preserve">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421175">
        <w:rPr>
          <w:rFonts w:ascii="Arial" w:hAnsi="Arial" w:cs="Arial"/>
          <w:sz w:val="24"/>
          <w:szCs w:val="24"/>
        </w:rPr>
        <w:t>in the Appendix)</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E24404">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A0092" w:rsidRDefault="00D06B26" w:rsidP="00DA0092">
            <w:pPr>
              <w:spacing w:line="276" w:lineRule="auto"/>
              <w:jc w:val="center"/>
              <w:rPr>
                <w:rFonts w:ascii="Arial" w:hAnsi="Arial" w:cs="Arial"/>
                <w:b/>
                <w:bCs/>
                <w:sz w:val="24"/>
                <w:szCs w:val="24"/>
              </w:rPr>
            </w:pPr>
            <w:r w:rsidRPr="00DA0092">
              <w:rPr>
                <w:rFonts w:ascii="Arial" w:hAnsi="Arial" w:cs="Arial"/>
                <w:b/>
                <w:bCs/>
                <w:sz w:val="24"/>
                <w:szCs w:val="24"/>
              </w:rPr>
              <w:t>Email</w:t>
            </w:r>
          </w:p>
        </w:tc>
      </w:tr>
      <w:tr w:rsidR="00F97D83" w14:paraId="5EFA7951" w14:textId="77777777" w:rsidTr="00F97D83">
        <w:trPr>
          <w:cantSplit/>
          <w:trHeight w:val="610"/>
        </w:trPr>
        <w:tc>
          <w:tcPr>
            <w:tcW w:w="2269" w:type="dxa"/>
            <w:shd w:val="clear" w:color="auto" w:fill="D9D9D9" w:themeFill="background1" w:themeFillShade="D9"/>
            <w:vAlign w:val="center"/>
          </w:tcPr>
          <w:p w14:paraId="1EA0C066" w14:textId="77777777" w:rsidR="00F97D83" w:rsidRPr="00DA0092" w:rsidRDefault="00F97D83" w:rsidP="00F97D83">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1A07FF54" w:rsidR="00F97D83" w:rsidRPr="00F97D83" w:rsidRDefault="00F97D83" w:rsidP="00F97D83">
            <w:pPr>
              <w:rPr>
                <w:rFonts w:ascii="Arial" w:hAnsi="Arial" w:cs="Arial"/>
                <w:sz w:val="24"/>
                <w:szCs w:val="24"/>
              </w:rPr>
            </w:pPr>
            <w:r w:rsidRPr="00F97D83">
              <w:rPr>
                <w:rFonts w:ascii="Arial" w:hAnsi="Arial" w:cs="Arial"/>
                <w:sz w:val="24"/>
                <w:szCs w:val="24"/>
              </w:rPr>
              <w:t>[Removed for publication]</w:t>
            </w:r>
          </w:p>
        </w:tc>
        <w:tc>
          <w:tcPr>
            <w:tcW w:w="4394" w:type="dxa"/>
            <w:vAlign w:val="center"/>
          </w:tcPr>
          <w:p w14:paraId="19F1ADCF" w14:textId="6537AAB9"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Senior Pathway Integration Manager</w:t>
            </w:r>
          </w:p>
        </w:tc>
        <w:tc>
          <w:tcPr>
            <w:tcW w:w="2410" w:type="dxa"/>
            <w:vAlign w:val="center"/>
          </w:tcPr>
          <w:p w14:paraId="67A593FF" w14:textId="26201873"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28</w:t>
            </w:r>
            <w:r>
              <w:rPr>
                <w:rFonts w:ascii="Arial" w:hAnsi="Arial" w:cs="Arial"/>
                <w:sz w:val="24"/>
                <w:szCs w:val="24"/>
              </w:rPr>
              <w:t>.</w:t>
            </w:r>
            <w:r w:rsidRPr="00F97D83">
              <w:rPr>
                <w:rFonts w:ascii="Arial" w:hAnsi="Arial" w:cs="Arial"/>
                <w:sz w:val="24"/>
                <w:szCs w:val="24"/>
              </w:rPr>
              <w:t>02</w:t>
            </w:r>
            <w:r>
              <w:rPr>
                <w:rFonts w:ascii="Arial" w:hAnsi="Arial" w:cs="Arial"/>
                <w:sz w:val="24"/>
                <w:szCs w:val="24"/>
              </w:rPr>
              <w:t>.</w:t>
            </w:r>
            <w:r w:rsidRPr="00F97D83">
              <w:rPr>
                <w:rFonts w:ascii="Arial" w:hAnsi="Arial" w:cs="Arial"/>
                <w:sz w:val="24"/>
                <w:szCs w:val="24"/>
              </w:rPr>
              <w:t>2023</w:t>
            </w:r>
          </w:p>
        </w:tc>
        <w:tc>
          <w:tcPr>
            <w:tcW w:w="3260" w:type="dxa"/>
            <w:vAlign w:val="center"/>
          </w:tcPr>
          <w:p w14:paraId="562B8782" w14:textId="77777777" w:rsidR="00F97D83" w:rsidRPr="00F97D83" w:rsidRDefault="00F97D83" w:rsidP="00F97D83">
            <w:pPr>
              <w:spacing w:line="276" w:lineRule="auto"/>
              <w:rPr>
                <w:rFonts w:ascii="Arial" w:hAnsi="Arial" w:cs="Arial"/>
                <w:sz w:val="24"/>
                <w:szCs w:val="24"/>
              </w:rPr>
            </w:pPr>
          </w:p>
        </w:tc>
      </w:tr>
      <w:tr w:rsidR="00F97D83" w14:paraId="7C8E4116" w14:textId="77777777" w:rsidTr="00F97D83">
        <w:trPr>
          <w:cantSplit/>
          <w:trHeight w:val="724"/>
        </w:trPr>
        <w:tc>
          <w:tcPr>
            <w:tcW w:w="2269" w:type="dxa"/>
            <w:shd w:val="clear" w:color="auto" w:fill="D9D9D9" w:themeFill="background1" w:themeFillShade="D9"/>
            <w:vAlign w:val="center"/>
          </w:tcPr>
          <w:p w14:paraId="4A0CF244" w14:textId="77777777" w:rsidR="00F97D83" w:rsidRPr="00DA0092" w:rsidRDefault="00F97D83" w:rsidP="00F97D83">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F97D83" w:rsidRPr="00DA0092" w:rsidRDefault="00F97D83" w:rsidP="00F97D83">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69FC0F2E"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[Removed for publication]</w:t>
            </w:r>
          </w:p>
        </w:tc>
        <w:tc>
          <w:tcPr>
            <w:tcW w:w="4394" w:type="dxa"/>
            <w:vAlign w:val="center"/>
          </w:tcPr>
          <w:p w14:paraId="43BF1701" w14:textId="05DF3AD8"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Pathway Integration Lead</w:t>
            </w:r>
          </w:p>
        </w:tc>
        <w:tc>
          <w:tcPr>
            <w:tcW w:w="2410" w:type="dxa"/>
            <w:vAlign w:val="center"/>
          </w:tcPr>
          <w:p w14:paraId="14E25416" w14:textId="45BA5B69"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30</w:t>
            </w:r>
            <w:r>
              <w:rPr>
                <w:rFonts w:ascii="Arial" w:hAnsi="Arial" w:cs="Arial"/>
                <w:sz w:val="24"/>
                <w:szCs w:val="24"/>
              </w:rPr>
              <w:t>.</w:t>
            </w:r>
            <w:r w:rsidRPr="00F97D83">
              <w:rPr>
                <w:rFonts w:ascii="Arial" w:hAnsi="Arial" w:cs="Arial"/>
                <w:sz w:val="24"/>
                <w:szCs w:val="24"/>
              </w:rPr>
              <w:t>04</w:t>
            </w:r>
            <w:r>
              <w:rPr>
                <w:rFonts w:ascii="Arial" w:hAnsi="Arial" w:cs="Arial"/>
                <w:sz w:val="24"/>
                <w:szCs w:val="24"/>
              </w:rPr>
              <w:t>.</w:t>
            </w:r>
            <w:r w:rsidRPr="00F97D83">
              <w:rPr>
                <w:rFonts w:ascii="Arial" w:hAnsi="Arial" w:cs="Arial"/>
                <w:sz w:val="24"/>
                <w:szCs w:val="24"/>
              </w:rPr>
              <w:t>2024</w:t>
            </w:r>
          </w:p>
        </w:tc>
        <w:tc>
          <w:tcPr>
            <w:tcW w:w="3260" w:type="dxa"/>
            <w:vAlign w:val="center"/>
          </w:tcPr>
          <w:p w14:paraId="49C097D9" w14:textId="5CF5D806" w:rsidR="00F97D83" w:rsidRPr="00F97D83" w:rsidRDefault="00F97D83" w:rsidP="00F97D83">
            <w:pPr>
              <w:spacing w:line="276" w:lineRule="auto"/>
              <w:rPr>
                <w:rFonts w:ascii="Arial" w:hAnsi="Arial" w:cs="Arial"/>
                <w:sz w:val="24"/>
                <w:szCs w:val="24"/>
              </w:rPr>
            </w:pPr>
            <w:r w:rsidRPr="00F97D83">
              <w:rPr>
                <w:rFonts w:ascii="Arial" w:hAnsi="Arial" w:cs="Arial"/>
                <w:sz w:val="24"/>
                <w:szCs w:val="24"/>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77C5E268" w:rsidR="0090588F" w:rsidRPr="00382BB2" w:rsidRDefault="00F97D83" w:rsidP="00DA0092">
            <w:pPr>
              <w:spacing w:line="276" w:lineRule="auto"/>
              <w:rPr>
                <w:rFonts w:ascii="Arial" w:hAnsi="Arial" w:cs="Arial"/>
              </w:rPr>
            </w:pPr>
            <w:r w:rsidRPr="00F97D83">
              <w:rPr>
                <w:rFonts w:ascii="Arial" w:hAnsi="Arial" w:cs="Arial"/>
                <w:sz w:val="24"/>
                <w:szCs w:val="24"/>
              </w:rPr>
              <w:t xml:space="preserve">O128 Dying Matters </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7D8BAEEE" w:rsidR="0090588F" w:rsidRPr="00013E80" w:rsidRDefault="0090588F" w:rsidP="00DA0092">
            <w:pPr>
              <w:spacing w:line="276" w:lineRule="auto"/>
              <w:rPr>
                <w:rFonts w:ascii="Arial" w:hAnsi="Arial" w:cs="Arial"/>
                <w:sz w:val="24"/>
                <w:szCs w:val="24"/>
              </w:rPr>
            </w:pPr>
            <w:r w:rsidRPr="00013E80">
              <w:rPr>
                <w:rFonts w:ascii="Arial" w:hAnsi="Arial" w:cs="Arial"/>
                <w:sz w:val="24"/>
                <w:szCs w:val="24"/>
              </w:rPr>
              <w:t xml:space="preserve">Stop </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F97D83">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Pr="00DA0092" w:rsidRDefault="00DA0092" w:rsidP="00DA0092">
      <w:pPr>
        <w:spacing w:after="0" w:line="276" w:lineRule="auto"/>
        <w:rPr>
          <w:sz w:val="18"/>
          <w:szCs w:val="18"/>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52720A58" w14:textId="77777777" w:rsidR="00DA0092" w:rsidRPr="00A24252" w:rsidRDefault="00DA0092" w:rsidP="00DA0092">
      <w:pPr>
        <w:spacing w:after="0" w:line="276" w:lineRule="auto"/>
        <w:rPr>
          <w:sz w:val="16"/>
          <w:szCs w:val="16"/>
        </w:rPr>
      </w:pPr>
    </w:p>
    <w:tbl>
      <w:tblPr>
        <w:tblStyle w:val="TableGrid"/>
        <w:tblW w:w="15749"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15749"/>
      </w:tblGrid>
      <w:tr w:rsidR="0090588F" w:rsidRPr="0054266D" w14:paraId="28556490" w14:textId="77777777" w:rsidTr="00DA0092">
        <w:trPr>
          <w:trHeight w:val="1419"/>
        </w:trPr>
        <w:tc>
          <w:tcPr>
            <w:tcW w:w="15749" w:type="dxa"/>
            <w:shd w:val="clear" w:color="auto" w:fill="auto"/>
          </w:tcPr>
          <w:p w14:paraId="234F4D27" w14:textId="77777777" w:rsidR="00350577" w:rsidRPr="00350577" w:rsidRDefault="00350577" w:rsidP="00350577">
            <w:pPr>
              <w:spacing w:line="276" w:lineRule="auto"/>
              <w:rPr>
                <w:rFonts w:ascii="Arial" w:hAnsi="Arial" w:cs="Arial"/>
                <w:bCs/>
                <w:sz w:val="24"/>
                <w:szCs w:val="24"/>
              </w:rPr>
            </w:pPr>
            <w:r w:rsidRPr="00350577">
              <w:rPr>
                <w:rFonts w:ascii="Arial" w:hAnsi="Arial" w:cs="Arial"/>
                <w:bCs/>
                <w:sz w:val="24"/>
                <w:szCs w:val="24"/>
              </w:rPr>
              <w:t>Hospice UK’s Dying Matters campaign is in place to create an open culture in which people are comfortable talking about death, dying and grief.</w:t>
            </w:r>
          </w:p>
          <w:p w14:paraId="344F9B7F" w14:textId="77777777" w:rsidR="00350577" w:rsidRPr="00350577" w:rsidRDefault="00350577" w:rsidP="00350577">
            <w:pPr>
              <w:spacing w:line="276" w:lineRule="auto"/>
              <w:rPr>
                <w:rFonts w:ascii="Arial" w:hAnsi="Arial" w:cs="Arial"/>
                <w:bCs/>
                <w:sz w:val="24"/>
                <w:szCs w:val="24"/>
              </w:rPr>
            </w:pPr>
          </w:p>
          <w:p w14:paraId="6D0D382B" w14:textId="18847C89" w:rsidR="00350577" w:rsidRPr="00350577" w:rsidRDefault="00350577" w:rsidP="00350577">
            <w:pPr>
              <w:spacing w:line="276" w:lineRule="auto"/>
              <w:rPr>
                <w:rFonts w:ascii="Arial" w:hAnsi="Arial" w:cs="Arial"/>
                <w:bCs/>
                <w:sz w:val="24"/>
                <w:szCs w:val="24"/>
              </w:rPr>
            </w:pPr>
            <w:r w:rsidRPr="00350577">
              <w:rPr>
                <w:rFonts w:ascii="Arial" w:hAnsi="Arial" w:cs="Arial"/>
                <w:bCs/>
                <w:sz w:val="24"/>
                <w:szCs w:val="24"/>
              </w:rPr>
              <w:t xml:space="preserve">To contribute to the financial situation this proposal is that consideration is given to ending the recurrent £5000 per year Dying Matters funding. This funding provides community grants in support of the Dying Matters programme and Dying Matters week which is held in May each year. In </w:t>
            </w:r>
            <w:r w:rsidRPr="00350577">
              <w:rPr>
                <w:rFonts w:ascii="Arial" w:hAnsi="Arial" w:cs="Arial"/>
                <w:bCs/>
                <w:sz w:val="24"/>
                <w:szCs w:val="24"/>
              </w:rPr>
              <w:lastRenderedPageBreak/>
              <w:t xml:space="preserve">addition, where </w:t>
            </w:r>
            <w:r>
              <w:rPr>
                <w:rFonts w:ascii="Arial" w:hAnsi="Arial" w:cs="Arial"/>
                <w:bCs/>
                <w:sz w:val="24"/>
                <w:szCs w:val="24"/>
              </w:rPr>
              <w:t xml:space="preserve">the </w:t>
            </w:r>
            <w:r w:rsidRPr="00350577">
              <w:rPr>
                <w:rFonts w:ascii="Arial" w:hAnsi="Arial" w:cs="Arial"/>
                <w:bCs/>
                <w:sz w:val="24"/>
                <w:szCs w:val="24"/>
              </w:rPr>
              <w:t>budget has allowed, an annual larger community event and workforce training to develop skills in having conversations about death and bereavement (delivered by LCF) have been planned.</w:t>
            </w:r>
          </w:p>
          <w:p w14:paraId="2F30AC14" w14:textId="77777777" w:rsidR="00350577" w:rsidRPr="00350577" w:rsidRDefault="00350577" w:rsidP="00350577">
            <w:pPr>
              <w:spacing w:line="276" w:lineRule="auto"/>
              <w:rPr>
                <w:rFonts w:ascii="Arial" w:hAnsi="Arial" w:cs="Arial"/>
                <w:bCs/>
                <w:sz w:val="24"/>
                <w:szCs w:val="24"/>
              </w:rPr>
            </w:pPr>
          </w:p>
          <w:p w14:paraId="186453B1" w14:textId="31B6F970" w:rsidR="00350577" w:rsidRDefault="00350577" w:rsidP="00350577">
            <w:pPr>
              <w:spacing w:line="276" w:lineRule="auto"/>
              <w:rPr>
                <w:rFonts w:ascii="Arial" w:hAnsi="Arial" w:cs="Arial"/>
                <w:bCs/>
                <w:sz w:val="24"/>
                <w:szCs w:val="24"/>
              </w:rPr>
            </w:pPr>
            <w:r w:rsidRPr="00350577">
              <w:rPr>
                <w:rFonts w:ascii="Arial" w:hAnsi="Arial" w:cs="Arial"/>
                <w:bCs/>
                <w:sz w:val="24"/>
                <w:szCs w:val="24"/>
              </w:rPr>
              <w:t xml:space="preserve">The process of administrating the fund, through an application process, has been the responsibility of </w:t>
            </w:r>
            <w:r>
              <w:rPr>
                <w:rFonts w:ascii="Arial" w:hAnsi="Arial" w:cs="Arial"/>
                <w:bCs/>
                <w:sz w:val="24"/>
                <w:szCs w:val="24"/>
              </w:rPr>
              <w:t xml:space="preserve">the </w:t>
            </w:r>
            <w:r w:rsidRPr="00350577">
              <w:rPr>
                <w:rFonts w:ascii="Arial" w:hAnsi="Arial" w:cs="Arial"/>
                <w:bCs/>
                <w:sz w:val="24"/>
                <w:szCs w:val="24"/>
              </w:rPr>
              <w:t>Leeds Bereavement Forum (LBF). The £5000 met the value of the grants themselves, and the cost of administering the process by LBF. Due to a lack of financial sustainability</w:t>
            </w:r>
            <w:r>
              <w:rPr>
                <w:rFonts w:ascii="Arial" w:hAnsi="Arial" w:cs="Arial"/>
                <w:bCs/>
                <w:sz w:val="24"/>
                <w:szCs w:val="24"/>
              </w:rPr>
              <w:t>,</w:t>
            </w:r>
            <w:r w:rsidRPr="00350577">
              <w:rPr>
                <w:rFonts w:ascii="Arial" w:hAnsi="Arial" w:cs="Arial"/>
                <w:bCs/>
                <w:sz w:val="24"/>
                <w:szCs w:val="24"/>
              </w:rPr>
              <w:t xml:space="preserve"> LBF will close at the end of March 2024. There are no alternative mechanisms or capacity for administering a grant process.</w:t>
            </w:r>
          </w:p>
          <w:p w14:paraId="2781263C" w14:textId="77777777" w:rsidR="00350577" w:rsidRPr="00350577" w:rsidRDefault="00350577" w:rsidP="00350577">
            <w:pPr>
              <w:spacing w:line="276" w:lineRule="auto"/>
              <w:rPr>
                <w:rFonts w:ascii="Arial" w:hAnsi="Arial" w:cs="Arial"/>
                <w:bCs/>
                <w:sz w:val="24"/>
                <w:szCs w:val="24"/>
              </w:rPr>
            </w:pPr>
          </w:p>
          <w:p w14:paraId="5BEB7827" w14:textId="77777777" w:rsidR="00350577" w:rsidRPr="00350577" w:rsidRDefault="00350577" w:rsidP="00350577">
            <w:pPr>
              <w:spacing w:line="276" w:lineRule="auto"/>
              <w:rPr>
                <w:rFonts w:ascii="Arial" w:hAnsi="Arial" w:cs="Arial"/>
                <w:bCs/>
                <w:sz w:val="24"/>
                <w:szCs w:val="24"/>
              </w:rPr>
            </w:pPr>
            <w:r w:rsidRPr="00350577">
              <w:rPr>
                <w:rFonts w:ascii="Arial" w:hAnsi="Arial" w:cs="Arial"/>
                <w:bCs/>
                <w:sz w:val="24"/>
                <w:szCs w:val="24"/>
              </w:rPr>
              <w:t>Dying Matters Community Grants:</w:t>
            </w:r>
          </w:p>
          <w:p w14:paraId="736D5B9D" w14:textId="4900F0DB" w:rsidR="00350577" w:rsidRPr="00350577" w:rsidRDefault="00350577" w:rsidP="00350577">
            <w:pPr>
              <w:pStyle w:val="ListParagraph"/>
              <w:numPr>
                <w:ilvl w:val="0"/>
                <w:numId w:val="21"/>
              </w:numPr>
              <w:spacing w:line="276" w:lineRule="auto"/>
              <w:rPr>
                <w:rFonts w:ascii="Arial" w:hAnsi="Arial" w:cs="Arial"/>
                <w:bCs/>
                <w:sz w:val="24"/>
                <w:szCs w:val="24"/>
              </w:rPr>
            </w:pPr>
            <w:r w:rsidRPr="00350577">
              <w:rPr>
                <w:rFonts w:ascii="Arial" w:hAnsi="Arial" w:cs="Arial"/>
                <w:bCs/>
                <w:sz w:val="24"/>
                <w:szCs w:val="24"/>
              </w:rPr>
              <w:t xml:space="preserve">Small Grant up to £200 is available for </w:t>
            </w:r>
            <w:r>
              <w:rPr>
                <w:rFonts w:ascii="Arial" w:hAnsi="Arial" w:cs="Arial"/>
                <w:bCs/>
                <w:sz w:val="24"/>
                <w:szCs w:val="24"/>
              </w:rPr>
              <w:t>one-off</w:t>
            </w:r>
            <w:r w:rsidRPr="00350577">
              <w:rPr>
                <w:rFonts w:ascii="Arial" w:hAnsi="Arial" w:cs="Arial"/>
                <w:bCs/>
                <w:sz w:val="24"/>
                <w:szCs w:val="24"/>
              </w:rPr>
              <w:t xml:space="preserve"> events</w:t>
            </w:r>
            <w:r>
              <w:rPr>
                <w:rFonts w:ascii="Arial" w:hAnsi="Arial" w:cs="Arial"/>
                <w:bCs/>
                <w:sz w:val="24"/>
                <w:szCs w:val="24"/>
              </w:rPr>
              <w:t>.</w:t>
            </w:r>
          </w:p>
          <w:p w14:paraId="45608202" w14:textId="29A052EC" w:rsidR="00350577" w:rsidRPr="00350577" w:rsidRDefault="00350577" w:rsidP="00350577">
            <w:pPr>
              <w:pStyle w:val="ListParagraph"/>
              <w:numPr>
                <w:ilvl w:val="0"/>
                <w:numId w:val="21"/>
              </w:numPr>
              <w:spacing w:line="276" w:lineRule="auto"/>
              <w:rPr>
                <w:rFonts w:ascii="Arial" w:hAnsi="Arial" w:cs="Arial"/>
                <w:bCs/>
                <w:sz w:val="24"/>
                <w:szCs w:val="24"/>
              </w:rPr>
            </w:pPr>
            <w:r w:rsidRPr="00350577">
              <w:rPr>
                <w:rFonts w:ascii="Arial" w:hAnsi="Arial" w:cs="Arial"/>
                <w:bCs/>
                <w:sz w:val="24"/>
                <w:szCs w:val="24"/>
              </w:rPr>
              <w:t>Medium Grant up to £500 is available for applications with more than one event</w:t>
            </w:r>
            <w:r>
              <w:rPr>
                <w:rFonts w:ascii="Arial" w:hAnsi="Arial" w:cs="Arial"/>
                <w:bCs/>
                <w:sz w:val="24"/>
                <w:szCs w:val="24"/>
              </w:rPr>
              <w:t>.</w:t>
            </w:r>
          </w:p>
          <w:p w14:paraId="226856D4" w14:textId="3A521630" w:rsidR="00350577" w:rsidRPr="00350577" w:rsidRDefault="00350577" w:rsidP="00350577">
            <w:pPr>
              <w:pStyle w:val="ListParagraph"/>
              <w:numPr>
                <w:ilvl w:val="0"/>
                <w:numId w:val="21"/>
              </w:numPr>
              <w:spacing w:line="276" w:lineRule="auto"/>
              <w:rPr>
                <w:rFonts w:ascii="Arial" w:hAnsi="Arial" w:cs="Arial"/>
                <w:bCs/>
                <w:sz w:val="24"/>
                <w:szCs w:val="24"/>
              </w:rPr>
            </w:pPr>
            <w:r w:rsidRPr="00350577">
              <w:rPr>
                <w:rFonts w:ascii="Arial" w:hAnsi="Arial" w:cs="Arial"/>
                <w:bCs/>
                <w:sz w:val="24"/>
                <w:szCs w:val="24"/>
              </w:rPr>
              <w:t xml:space="preserve">Large Grant up to £1,500 is available for </w:t>
            </w:r>
            <w:r>
              <w:rPr>
                <w:rFonts w:ascii="Arial" w:hAnsi="Arial" w:cs="Arial"/>
                <w:bCs/>
                <w:sz w:val="24"/>
                <w:szCs w:val="24"/>
              </w:rPr>
              <w:t>arts-based</w:t>
            </w:r>
            <w:r w:rsidRPr="00350577">
              <w:rPr>
                <w:rFonts w:ascii="Arial" w:hAnsi="Arial" w:cs="Arial"/>
                <w:bCs/>
                <w:sz w:val="24"/>
                <w:szCs w:val="24"/>
              </w:rPr>
              <w:t xml:space="preserve"> projects and performances</w:t>
            </w:r>
            <w:r>
              <w:rPr>
                <w:rFonts w:ascii="Arial" w:hAnsi="Arial" w:cs="Arial"/>
                <w:bCs/>
                <w:sz w:val="24"/>
                <w:szCs w:val="24"/>
              </w:rPr>
              <w:t>.</w:t>
            </w:r>
          </w:p>
          <w:p w14:paraId="17D7BD2A" w14:textId="77777777" w:rsidR="00350577" w:rsidRPr="00350577" w:rsidRDefault="00350577" w:rsidP="00350577">
            <w:pPr>
              <w:spacing w:line="276" w:lineRule="auto"/>
              <w:rPr>
                <w:rFonts w:ascii="Arial" w:hAnsi="Arial" w:cs="Arial"/>
                <w:bCs/>
                <w:sz w:val="24"/>
                <w:szCs w:val="24"/>
              </w:rPr>
            </w:pPr>
          </w:p>
          <w:p w14:paraId="4A80A5EF" w14:textId="595FB692" w:rsidR="00350577" w:rsidRPr="00350577" w:rsidRDefault="00350577" w:rsidP="00350577">
            <w:pPr>
              <w:spacing w:line="276" w:lineRule="auto"/>
              <w:rPr>
                <w:rFonts w:ascii="Arial" w:hAnsi="Arial" w:cs="Arial"/>
                <w:bCs/>
                <w:sz w:val="24"/>
                <w:szCs w:val="24"/>
              </w:rPr>
            </w:pPr>
            <w:r w:rsidRPr="00350577">
              <w:rPr>
                <w:rFonts w:ascii="Arial" w:hAnsi="Arial" w:cs="Arial"/>
                <w:bCs/>
                <w:sz w:val="24"/>
                <w:szCs w:val="24"/>
              </w:rPr>
              <w:t xml:space="preserve">2023 – lots of applications were received and ended up funding a range of activities including coffee mornings, memory boxes, mandala and </w:t>
            </w:r>
            <w:r>
              <w:rPr>
                <w:rFonts w:ascii="Arial" w:hAnsi="Arial" w:cs="Arial"/>
                <w:bCs/>
                <w:sz w:val="24"/>
                <w:szCs w:val="24"/>
              </w:rPr>
              <w:t>mosaic-making</w:t>
            </w:r>
            <w:r w:rsidRPr="00350577">
              <w:rPr>
                <w:rFonts w:ascii="Arial" w:hAnsi="Arial" w:cs="Arial"/>
                <w:bCs/>
                <w:sz w:val="24"/>
                <w:szCs w:val="24"/>
              </w:rPr>
              <w:t xml:space="preserve"> workshops, a creative writing workshop, and events with </w:t>
            </w:r>
            <w:r>
              <w:rPr>
                <w:rFonts w:ascii="Arial" w:hAnsi="Arial" w:cs="Arial"/>
                <w:bCs/>
                <w:sz w:val="24"/>
                <w:szCs w:val="24"/>
              </w:rPr>
              <w:t>end-of-life</w:t>
            </w:r>
            <w:r w:rsidRPr="00350577">
              <w:rPr>
                <w:rFonts w:ascii="Arial" w:hAnsi="Arial" w:cs="Arial"/>
                <w:bCs/>
                <w:sz w:val="24"/>
                <w:szCs w:val="24"/>
              </w:rPr>
              <w:t xml:space="preserve"> doulas. Audiences included: Leeds GATE, the BME Dementia Service, Leeds Involving People aimed at the Deaf community, and a 'West Leeds collective' roadshow of events throughout the week’.</w:t>
            </w:r>
          </w:p>
          <w:p w14:paraId="446AAC13" w14:textId="403F06A4" w:rsidR="00350577" w:rsidRPr="00350577" w:rsidRDefault="00350577" w:rsidP="00350577">
            <w:pPr>
              <w:spacing w:line="276" w:lineRule="auto"/>
              <w:rPr>
                <w:rFonts w:ascii="Arial" w:hAnsi="Arial" w:cs="Arial"/>
                <w:bCs/>
                <w:sz w:val="24"/>
                <w:szCs w:val="24"/>
              </w:rPr>
            </w:pPr>
            <w:r w:rsidRPr="00350577">
              <w:rPr>
                <w:rFonts w:ascii="Arial" w:hAnsi="Arial" w:cs="Arial"/>
                <w:bCs/>
                <w:sz w:val="24"/>
                <w:szCs w:val="24"/>
              </w:rPr>
              <w:t xml:space="preserve">The impact of removing the funding will therefore be seen in the lack of delivery of small community-based engagements and activities, and possibly larger one-off annual community engagement </w:t>
            </w:r>
            <w:r>
              <w:rPr>
                <w:rFonts w:ascii="Arial" w:hAnsi="Arial" w:cs="Arial"/>
                <w:bCs/>
                <w:sz w:val="24"/>
                <w:szCs w:val="24"/>
              </w:rPr>
              <w:t>events</w:t>
            </w:r>
            <w:r w:rsidRPr="00350577">
              <w:rPr>
                <w:rFonts w:ascii="Arial" w:hAnsi="Arial" w:cs="Arial"/>
                <w:bCs/>
                <w:sz w:val="24"/>
                <w:szCs w:val="24"/>
              </w:rPr>
              <w:t xml:space="preserve"> and ad hoc training for the wider workforce. The recent Healthwatch report ‘People’s experiences of end-of-life care in West Yorkshire’ highlights the breadth of community activities. </w:t>
            </w:r>
          </w:p>
          <w:p w14:paraId="4B581E1B" w14:textId="77777777" w:rsidR="00350577" w:rsidRPr="00350577" w:rsidRDefault="00350577" w:rsidP="00350577">
            <w:pPr>
              <w:spacing w:line="276" w:lineRule="auto"/>
              <w:rPr>
                <w:rFonts w:ascii="Arial" w:hAnsi="Arial" w:cs="Arial"/>
                <w:bCs/>
                <w:sz w:val="24"/>
                <w:szCs w:val="24"/>
              </w:rPr>
            </w:pPr>
          </w:p>
          <w:p w14:paraId="3F2277A9" w14:textId="67BFDB6D" w:rsidR="00A24252" w:rsidRPr="0054266D" w:rsidRDefault="00350577" w:rsidP="00350577">
            <w:pPr>
              <w:spacing w:line="276" w:lineRule="auto"/>
              <w:rPr>
                <w:rFonts w:ascii="Arial" w:hAnsi="Arial" w:cs="Arial"/>
                <w:b/>
                <w:sz w:val="24"/>
                <w:szCs w:val="24"/>
              </w:rPr>
            </w:pPr>
            <w:r w:rsidRPr="00350577">
              <w:rPr>
                <w:rFonts w:ascii="Arial" w:hAnsi="Arial" w:cs="Arial"/>
                <w:bCs/>
                <w:sz w:val="24"/>
                <w:szCs w:val="24"/>
              </w:rPr>
              <w:t xml:space="preserve">The impact of ceasing this funding would very likely be seen within the smaller community projects that are often the opportunity to support communities less often heard from and support areas and groups experiencing health inequalities. The </w:t>
            </w:r>
            <w:r>
              <w:rPr>
                <w:rFonts w:ascii="Arial" w:hAnsi="Arial" w:cs="Arial"/>
                <w:bCs/>
                <w:sz w:val="24"/>
                <w:szCs w:val="24"/>
              </w:rPr>
              <w:t>short-term</w:t>
            </w:r>
            <w:r w:rsidRPr="00350577">
              <w:rPr>
                <w:rFonts w:ascii="Arial" w:hAnsi="Arial" w:cs="Arial"/>
                <w:bCs/>
                <w:sz w:val="24"/>
                <w:szCs w:val="24"/>
              </w:rPr>
              <w:t xml:space="preserve"> challenging position is that the mechanism and organisation to administrate and distribute the grants is closing at the end of March 24 (LBF).</w:t>
            </w:r>
            <w:r>
              <w:rPr>
                <w:rFonts w:ascii="Arial" w:hAnsi="Arial" w:cs="Arial"/>
                <w:bCs/>
                <w:sz w:val="24"/>
                <w:szCs w:val="24"/>
              </w:rPr>
              <w:t xml:space="preserve"> </w:t>
            </w:r>
            <w:r w:rsidRPr="00350577">
              <w:rPr>
                <w:rFonts w:ascii="Arial" w:hAnsi="Arial" w:cs="Arial"/>
                <w:bCs/>
                <w:sz w:val="24"/>
                <w:szCs w:val="24"/>
              </w:rPr>
              <w:t>There may be some underspend to facilitate a small amount of Dying Matters activity in 2024 such as communications and workforce training skills, and not relating to the grants.</w:t>
            </w:r>
          </w:p>
        </w:tc>
      </w:tr>
    </w:tbl>
    <w:p w14:paraId="4D001273" w14:textId="77777777" w:rsidR="00350577" w:rsidRPr="00350577" w:rsidRDefault="00350577" w:rsidP="00350577">
      <w:pPr>
        <w:rPr>
          <w:rFonts w:ascii="Arial" w:hAnsi="Arial" w:cs="Arial"/>
          <w:sz w:val="24"/>
          <w:szCs w:val="24"/>
        </w:rPr>
      </w:pPr>
    </w:p>
    <w:p w14:paraId="4A51B52E" w14:textId="4651D909"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4FCD4EA4"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421175" w:rsidRPr="00421175">
        <w:rPr>
          <w:rFonts w:ascii="Arial" w:hAnsi="Arial" w:cs="Arial"/>
          <w:sz w:val="24"/>
          <w:szCs w:val="24"/>
        </w:rPr>
        <w:t>[Removed for publication] </w:t>
      </w:r>
    </w:p>
    <w:p w14:paraId="604B6D72" w14:textId="02D55FE8"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421175" w:rsidRPr="00421175">
        <w:rPr>
          <w:rFonts w:ascii="Arial" w:hAnsi="Arial" w:cs="Arial"/>
          <w:sz w:val="24"/>
          <w:szCs w:val="24"/>
        </w:rPr>
        <w:t>[Removed for publication] </w:t>
      </w:r>
    </w:p>
    <w:p w14:paraId="18528A00" w14:textId="7DB39AFD"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Involvement Manager: </w:t>
      </w:r>
      <w:r w:rsidR="00421175" w:rsidRPr="00421175">
        <w:rPr>
          <w:rStyle w:val="Hyperlink"/>
          <w:rFonts w:ascii="Arial" w:hAnsi="Arial" w:cs="Arial"/>
          <w:color w:val="auto"/>
          <w:sz w:val="24"/>
          <w:szCs w:val="24"/>
          <w:u w:val="none"/>
        </w:rPr>
        <w:t>[Removed for publication]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350577">
        <w:trPr>
          <w:trHeight w:val="1247"/>
        </w:trPr>
        <w:tc>
          <w:tcPr>
            <w:tcW w:w="14413" w:type="dxa"/>
          </w:tcPr>
          <w:p w14:paraId="6F319395"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330011E4" w14:textId="77777777" w:rsidR="00350577" w:rsidRDefault="00350577" w:rsidP="00350577">
            <w:pPr>
              <w:spacing w:line="276" w:lineRule="auto"/>
              <w:rPr>
                <w:rFonts w:ascii="Arial" w:hAnsi="Arial" w:cs="Arial"/>
                <w:sz w:val="24"/>
                <w:szCs w:val="24"/>
              </w:rPr>
            </w:pPr>
          </w:p>
          <w:p w14:paraId="11892C61" w14:textId="70ACF598" w:rsidR="00350577" w:rsidRPr="00350577" w:rsidRDefault="00350577" w:rsidP="00350577">
            <w:pPr>
              <w:spacing w:line="276" w:lineRule="auto"/>
              <w:rPr>
                <w:rFonts w:ascii="Arial" w:hAnsi="Arial" w:cs="Arial"/>
                <w:sz w:val="24"/>
                <w:szCs w:val="24"/>
              </w:rPr>
            </w:pPr>
            <w:r w:rsidRPr="00350577">
              <w:rPr>
                <w:rFonts w:ascii="Arial" w:hAnsi="Arial" w:cs="Arial"/>
                <w:sz w:val="24"/>
                <w:szCs w:val="24"/>
              </w:rPr>
              <w:t xml:space="preserve">Both the grant funding and the mechanism to administrate it would be removed. </w:t>
            </w:r>
          </w:p>
        </w:tc>
        <w:tc>
          <w:tcPr>
            <w:tcW w:w="1275" w:type="dxa"/>
            <w:vAlign w:val="center"/>
          </w:tcPr>
          <w:p w14:paraId="567838A3" w14:textId="41D92654" w:rsidR="005E3667" w:rsidRDefault="00350577" w:rsidP="00350577">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350577">
        <w:trPr>
          <w:trHeight w:val="1421"/>
        </w:trPr>
        <w:tc>
          <w:tcPr>
            <w:tcW w:w="14413" w:type="dxa"/>
          </w:tcPr>
          <w:p w14:paraId="715AC5AA" w14:textId="715CCD5D"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00421175">
                <w:rPr>
                  <w:rStyle w:val="Hyperlink"/>
                  <w:rFonts w:ascii="Arial" w:hAnsi="Arial" w:cs="Arial"/>
                  <w:sz w:val="24"/>
                  <w:szCs w:val="24"/>
                </w:rPr>
                <w:t>Appendix A</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4F40B72" w14:textId="77777777" w:rsidR="005E3667" w:rsidRDefault="005E3667" w:rsidP="00DA0092">
            <w:pPr>
              <w:spacing w:line="276" w:lineRule="auto"/>
              <w:rPr>
                <w:rFonts w:ascii="Arial" w:hAnsi="Arial" w:cs="Arial"/>
                <w:sz w:val="24"/>
                <w:szCs w:val="24"/>
              </w:rPr>
            </w:pPr>
          </w:p>
          <w:p w14:paraId="425DFEF9" w14:textId="7F3B6C50" w:rsidR="00350577" w:rsidRPr="00C27BA7" w:rsidRDefault="00350577" w:rsidP="00DA0092">
            <w:pPr>
              <w:spacing w:line="276" w:lineRule="auto"/>
              <w:rPr>
                <w:rFonts w:ascii="Arial" w:hAnsi="Arial" w:cs="Arial"/>
                <w:sz w:val="24"/>
                <w:szCs w:val="24"/>
              </w:rPr>
            </w:pPr>
            <w:r w:rsidRPr="00350577">
              <w:rPr>
                <w:rFonts w:ascii="Arial" w:hAnsi="Arial" w:cs="Arial"/>
                <w:sz w:val="24"/>
                <w:szCs w:val="24"/>
              </w:rPr>
              <w:t xml:space="preserve">Dying Matters provides support through </w:t>
            </w:r>
            <w:proofErr w:type="gramStart"/>
            <w:r w:rsidRPr="00350577">
              <w:rPr>
                <w:rFonts w:ascii="Arial" w:hAnsi="Arial" w:cs="Arial"/>
                <w:sz w:val="24"/>
                <w:szCs w:val="24"/>
              </w:rPr>
              <w:t>a number of</w:t>
            </w:r>
            <w:proofErr w:type="gramEnd"/>
            <w:r w:rsidRPr="00350577">
              <w:rPr>
                <w:rFonts w:ascii="Arial" w:hAnsi="Arial" w:cs="Arial"/>
                <w:sz w:val="24"/>
                <w:szCs w:val="24"/>
              </w:rPr>
              <w:t xml:space="preserve"> varied community projects. This would be lost.</w:t>
            </w:r>
          </w:p>
        </w:tc>
        <w:tc>
          <w:tcPr>
            <w:tcW w:w="1275" w:type="dxa"/>
            <w:vAlign w:val="center"/>
          </w:tcPr>
          <w:p w14:paraId="2B0B65CF" w14:textId="20C9B2B8" w:rsidR="00350577" w:rsidRDefault="00350577" w:rsidP="00350577">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350577">
        <w:trPr>
          <w:trHeight w:val="1400"/>
        </w:trPr>
        <w:tc>
          <w:tcPr>
            <w:tcW w:w="14413" w:type="dxa"/>
          </w:tcPr>
          <w:p w14:paraId="6DCCF514"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7DDB8FF6" w14:textId="77777777" w:rsidR="00350577" w:rsidRDefault="00350577" w:rsidP="00350577">
            <w:pPr>
              <w:spacing w:line="276" w:lineRule="auto"/>
              <w:rPr>
                <w:rFonts w:ascii="Arial" w:hAnsi="Arial" w:cs="Arial"/>
                <w:sz w:val="24"/>
                <w:szCs w:val="24"/>
              </w:rPr>
            </w:pPr>
          </w:p>
          <w:p w14:paraId="09E9EBDB" w14:textId="418395AF" w:rsidR="00350577" w:rsidRPr="00350577" w:rsidRDefault="00350577" w:rsidP="00350577">
            <w:pPr>
              <w:spacing w:line="276" w:lineRule="auto"/>
              <w:rPr>
                <w:rFonts w:ascii="Arial" w:hAnsi="Arial" w:cs="Arial"/>
                <w:sz w:val="24"/>
                <w:szCs w:val="24"/>
              </w:rPr>
            </w:pPr>
            <w:r w:rsidRPr="00350577">
              <w:rPr>
                <w:rFonts w:ascii="Arial" w:hAnsi="Arial" w:cs="Arial"/>
                <w:sz w:val="24"/>
                <w:szCs w:val="24"/>
              </w:rPr>
              <w:t xml:space="preserve">LBF were responsible for administrating the funding and that organisation will cease at the end of March 2024. </w:t>
            </w:r>
          </w:p>
        </w:tc>
        <w:tc>
          <w:tcPr>
            <w:tcW w:w="1275" w:type="dxa"/>
            <w:vAlign w:val="center"/>
          </w:tcPr>
          <w:p w14:paraId="6E09F0C5" w14:textId="694F7B2A" w:rsidR="005E3667" w:rsidRDefault="00350577" w:rsidP="00350577">
            <w:pPr>
              <w:spacing w:line="276" w:lineRule="auto"/>
              <w:jc w:val="center"/>
              <w:rPr>
                <w:rFonts w:ascii="Arial" w:hAnsi="Arial" w:cs="Arial"/>
                <w:b/>
                <w:bCs/>
                <w:sz w:val="24"/>
                <w:szCs w:val="24"/>
              </w:rPr>
            </w:pPr>
            <w:r>
              <w:rPr>
                <w:rFonts w:ascii="Arial" w:hAnsi="Arial" w:cs="Arial"/>
                <w:b/>
                <w:bCs/>
                <w:sz w:val="24"/>
                <w:szCs w:val="24"/>
              </w:rPr>
              <w:t>No</w:t>
            </w:r>
          </w:p>
        </w:tc>
      </w:tr>
      <w:tr w:rsidR="005E3667" w14:paraId="3C077E12" w14:textId="77777777" w:rsidTr="00350577">
        <w:trPr>
          <w:trHeight w:val="1134"/>
        </w:trPr>
        <w:tc>
          <w:tcPr>
            <w:tcW w:w="14413" w:type="dxa"/>
          </w:tcPr>
          <w:p w14:paraId="136C8E5B" w14:textId="7F14EB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69DFA3F" w14:textId="77777777" w:rsidR="005E3667" w:rsidRPr="00C27BA7" w:rsidRDefault="005E3667" w:rsidP="00DA0092">
            <w:pPr>
              <w:spacing w:line="276" w:lineRule="auto"/>
              <w:rPr>
                <w:rFonts w:ascii="Arial" w:hAnsi="Arial" w:cs="Arial"/>
                <w:b/>
                <w:bCs/>
                <w:sz w:val="24"/>
                <w:szCs w:val="24"/>
              </w:rPr>
            </w:pPr>
          </w:p>
          <w:p w14:paraId="35961DC7" w14:textId="77777777" w:rsidR="005E3667" w:rsidRPr="00C27BA7" w:rsidRDefault="005E3667" w:rsidP="00DA0092">
            <w:pPr>
              <w:spacing w:line="276" w:lineRule="auto"/>
              <w:rPr>
                <w:rFonts w:ascii="Arial" w:hAnsi="Arial" w:cs="Arial"/>
                <w:b/>
                <w:bCs/>
                <w:sz w:val="24"/>
                <w:szCs w:val="24"/>
              </w:rPr>
            </w:pPr>
          </w:p>
          <w:p w14:paraId="5B011B6E" w14:textId="77777777" w:rsidR="005E3667" w:rsidRPr="00C27BA7" w:rsidRDefault="005E3667" w:rsidP="00DA0092">
            <w:pPr>
              <w:spacing w:line="276" w:lineRule="auto"/>
              <w:rPr>
                <w:rFonts w:ascii="Arial" w:hAnsi="Arial" w:cs="Arial"/>
                <w:b/>
                <w:bCs/>
                <w:sz w:val="24"/>
                <w:szCs w:val="24"/>
              </w:rPr>
            </w:pPr>
          </w:p>
        </w:tc>
        <w:tc>
          <w:tcPr>
            <w:tcW w:w="1275" w:type="dxa"/>
            <w:vAlign w:val="center"/>
          </w:tcPr>
          <w:p w14:paraId="54863762" w14:textId="6D5476BF" w:rsidR="005E3667" w:rsidRDefault="00350577" w:rsidP="00350577">
            <w:pPr>
              <w:spacing w:line="276" w:lineRule="auto"/>
              <w:jc w:val="center"/>
              <w:rPr>
                <w:rFonts w:ascii="Arial" w:hAnsi="Arial" w:cs="Arial"/>
                <w:b/>
                <w:bCs/>
                <w:sz w:val="24"/>
                <w:szCs w:val="24"/>
              </w:rPr>
            </w:pPr>
            <w:r>
              <w:rPr>
                <w:rFonts w:ascii="Arial" w:hAnsi="Arial" w:cs="Arial"/>
                <w:b/>
                <w:bCs/>
                <w:sz w:val="24"/>
                <w:szCs w:val="24"/>
              </w:rPr>
              <w:t>No</w:t>
            </w:r>
          </w:p>
        </w:tc>
      </w:tr>
    </w:tbl>
    <w:p w14:paraId="355E937D" w14:textId="77777777" w:rsidR="005E3667" w:rsidRDefault="005E366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350577">
        <w:trPr>
          <w:trHeight w:val="823"/>
        </w:trPr>
        <w:tc>
          <w:tcPr>
            <w:tcW w:w="14413" w:type="dxa"/>
          </w:tcPr>
          <w:p w14:paraId="4CF7F32C" w14:textId="35FEFFEA" w:rsidR="005E3667" w:rsidRPr="004B255F"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77777777" w:rsidR="005E3667" w:rsidRPr="0054266D" w:rsidRDefault="005E3667" w:rsidP="00DA0092">
            <w:pPr>
              <w:spacing w:line="276" w:lineRule="auto"/>
              <w:rPr>
                <w:rFonts w:ascii="Arial" w:hAnsi="Arial" w:cs="Arial"/>
                <w:b/>
                <w:sz w:val="24"/>
                <w:szCs w:val="24"/>
              </w:rPr>
            </w:pPr>
          </w:p>
        </w:tc>
        <w:tc>
          <w:tcPr>
            <w:tcW w:w="1327" w:type="dxa"/>
            <w:vAlign w:val="center"/>
          </w:tcPr>
          <w:p w14:paraId="1FE8F360" w14:textId="18A52980" w:rsidR="005E3667" w:rsidRPr="00350577" w:rsidRDefault="00350577" w:rsidP="00350577">
            <w:pPr>
              <w:spacing w:line="276" w:lineRule="auto"/>
              <w:jc w:val="center"/>
              <w:rPr>
                <w:rFonts w:ascii="Arial" w:hAnsi="Arial" w:cs="Arial"/>
                <w:b/>
                <w:bCs/>
                <w:sz w:val="24"/>
                <w:szCs w:val="24"/>
              </w:rPr>
            </w:pPr>
            <w:r w:rsidRPr="00350577">
              <w:rPr>
                <w:rFonts w:ascii="Arial" w:hAnsi="Arial" w:cs="Arial"/>
                <w:b/>
                <w:bCs/>
                <w:sz w:val="24"/>
                <w:szCs w:val="24"/>
              </w:rPr>
              <w:t>No</w:t>
            </w:r>
          </w:p>
        </w:tc>
      </w:tr>
      <w:tr w:rsidR="005E3667" w:rsidRPr="0054266D" w14:paraId="1B491DE0" w14:textId="77777777" w:rsidTr="00350577">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13C877D8" w:rsidR="005E3667" w:rsidRPr="00350577" w:rsidRDefault="00350577" w:rsidP="00350577">
            <w:pPr>
              <w:spacing w:line="276" w:lineRule="auto"/>
              <w:jc w:val="center"/>
              <w:rPr>
                <w:rFonts w:ascii="Arial" w:hAnsi="Arial" w:cs="Arial"/>
                <w:b/>
                <w:bCs/>
                <w:sz w:val="24"/>
                <w:szCs w:val="24"/>
              </w:rPr>
            </w:pPr>
            <w:r w:rsidRPr="00350577">
              <w:rPr>
                <w:rFonts w:ascii="Arial" w:hAnsi="Arial" w:cs="Arial"/>
                <w:b/>
                <w:bCs/>
                <w:sz w:val="24"/>
                <w:szCs w:val="24"/>
              </w:rPr>
              <w:t>No</w:t>
            </w:r>
          </w:p>
        </w:tc>
      </w:tr>
      <w:tr w:rsidR="009B1457" w:rsidRPr="009B1457" w14:paraId="231DB560" w14:textId="77777777" w:rsidTr="00350577">
        <w:trPr>
          <w:trHeight w:val="847"/>
        </w:trPr>
        <w:tc>
          <w:tcPr>
            <w:tcW w:w="14413" w:type="dxa"/>
          </w:tcPr>
          <w:p w14:paraId="5F0BE141" w14:textId="77777777"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lastRenderedPageBreak/>
              <w:t>Full Equality Impact Assessment (EIA) required?</w:t>
            </w:r>
          </w:p>
          <w:p w14:paraId="65CD745F"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5F640B9" w14:textId="7F61AE89" w:rsidR="005E3667" w:rsidRPr="00350577" w:rsidRDefault="00350577" w:rsidP="00350577">
            <w:pPr>
              <w:spacing w:line="276" w:lineRule="auto"/>
              <w:jc w:val="center"/>
              <w:rPr>
                <w:rFonts w:ascii="Arial" w:hAnsi="Arial" w:cs="Arial"/>
                <w:b/>
                <w:bCs/>
                <w:sz w:val="24"/>
                <w:szCs w:val="24"/>
              </w:rPr>
            </w:pPr>
            <w:r w:rsidRPr="00350577">
              <w:rPr>
                <w:rFonts w:ascii="Arial" w:hAnsi="Arial" w:cs="Arial"/>
                <w:b/>
                <w:bCs/>
                <w:sz w:val="24"/>
                <w:szCs w:val="24"/>
              </w:rPr>
              <w:t>No</w:t>
            </w:r>
          </w:p>
        </w:tc>
      </w:tr>
      <w:tr w:rsidR="009B1457" w:rsidRPr="009B1457" w14:paraId="46EDA82A" w14:textId="77777777" w:rsidTr="00350577">
        <w:trPr>
          <w:trHeight w:val="480"/>
        </w:trPr>
        <w:tc>
          <w:tcPr>
            <w:tcW w:w="14413" w:type="dxa"/>
          </w:tcPr>
          <w:p w14:paraId="45C3F83F" w14:textId="623D5F2E"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0A175099" w14:textId="77777777" w:rsidR="005E3667" w:rsidRPr="009B1457" w:rsidRDefault="005E3667" w:rsidP="00DA0092">
            <w:pPr>
              <w:spacing w:line="276" w:lineRule="auto"/>
              <w:rPr>
                <w:rFonts w:ascii="Arial" w:hAnsi="Arial" w:cs="Arial"/>
                <w:sz w:val="24"/>
                <w:szCs w:val="24"/>
              </w:rPr>
            </w:pPr>
          </w:p>
          <w:p w14:paraId="3B7BAA8A"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24A4960" w14:textId="62DCB346" w:rsidR="005E3667" w:rsidRPr="00350577" w:rsidRDefault="00350577" w:rsidP="00350577">
            <w:pPr>
              <w:spacing w:line="276" w:lineRule="auto"/>
              <w:jc w:val="center"/>
              <w:rPr>
                <w:rFonts w:ascii="Arial" w:hAnsi="Arial" w:cs="Arial"/>
                <w:b/>
                <w:bCs/>
                <w:sz w:val="24"/>
                <w:szCs w:val="24"/>
              </w:rPr>
            </w:pPr>
            <w:r w:rsidRPr="00350577">
              <w:rPr>
                <w:rFonts w:ascii="Arial" w:hAnsi="Arial" w:cs="Arial"/>
                <w:b/>
                <w:bCs/>
                <w:sz w:val="24"/>
                <w:szCs w:val="24"/>
              </w:rPr>
              <w:t>No</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350577">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7FBB24B4" w:rsidR="005E3667" w:rsidRPr="00350577" w:rsidRDefault="00350577" w:rsidP="00350577">
            <w:pPr>
              <w:spacing w:line="276" w:lineRule="auto"/>
              <w:jc w:val="center"/>
              <w:rPr>
                <w:rFonts w:ascii="Arial" w:hAnsi="Arial" w:cs="Arial"/>
                <w:b/>
                <w:bCs/>
                <w:sz w:val="24"/>
                <w:szCs w:val="24"/>
              </w:rPr>
            </w:pPr>
            <w:r>
              <w:rPr>
                <w:rFonts w:ascii="Arial" w:hAnsi="Arial" w:cs="Arial"/>
                <w:b/>
                <w:bCs/>
                <w:sz w:val="24"/>
                <w:szCs w:val="24"/>
              </w:rPr>
              <w:t>No</w:t>
            </w:r>
          </w:p>
        </w:tc>
      </w:tr>
    </w:tbl>
    <w:p w14:paraId="77FBD58D" w14:textId="77777777" w:rsidR="009B1457" w:rsidRDefault="009B1457" w:rsidP="00DA0092">
      <w:pPr>
        <w:spacing w:after="0" w:line="276" w:lineRule="auto"/>
        <w:rPr>
          <w:rFonts w:ascii="Arial" w:hAnsi="Arial" w:cs="Arial"/>
        </w:rPr>
      </w:pPr>
    </w:p>
    <w:p w14:paraId="1D8A4485" w14:textId="77777777" w:rsidR="00350577" w:rsidRPr="009B1457" w:rsidRDefault="0035057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lastRenderedPageBreak/>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350577">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67EDB50F" w14:textId="6BD1A4B6" w:rsidR="005E3667" w:rsidRPr="00350577" w:rsidRDefault="00350577" w:rsidP="00350577">
            <w:pPr>
              <w:spacing w:line="276" w:lineRule="auto"/>
              <w:rPr>
                <w:rFonts w:ascii="Arial" w:hAnsi="Arial" w:cs="Arial"/>
                <w:sz w:val="24"/>
                <w:szCs w:val="24"/>
              </w:rPr>
            </w:pPr>
            <w:r w:rsidRPr="00350577">
              <w:rPr>
                <w:rFonts w:ascii="Arial" w:hAnsi="Arial" w:cs="Arial"/>
                <w:sz w:val="24"/>
                <w:szCs w:val="24"/>
              </w:rPr>
              <w:t>N/A</w:t>
            </w:r>
          </w:p>
        </w:tc>
      </w:tr>
      <w:tr w:rsidR="009B1457" w:rsidRPr="009B1457" w14:paraId="41E6602C" w14:textId="77777777" w:rsidTr="00350577">
        <w:trPr>
          <w:trHeight w:val="907"/>
        </w:trPr>
        <w:tc>
          <w:tcPr>
            <w:tcW w:w="4820" w:type="dxa"/>
            <w:vAlign w:val="center"/>
          </w:tcPr>
          <w:p w14:paraId="55EEFC9B"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C5DB49A" w14:textId="033AF484" w:rsidR="005E3667" w:rsidRPr="00350577" w:rsidRDefault="00350577" w:rsidP="00350577">
            <w:pPr>
              <w:spacing w:line="276" w:lineRule="auto"/>
              <w:rPr>
                <w:rFonts w:ascii="Arial" w:hAnsi="Arial" w:cs="Arial"/>
                <w:sz w:val="24"/>
                <w:szCs w:val="24"/>
              </w:rPr>
            </w:pPr>
            <w:r w:rsidRPr="00350577">
              <w:rPr>
                <w:rFonts w:ascii="Arial" w:hAnsi="Arial" w:cs="Arial"/>
                <w:sz w:val="24"/>
                <w:szCs w:val="24"/>
              </w:rPr>
              <w:t>N/A</w:t>
            </w:r>
          </w:p>
        </w:tc>
      </w:tr>
      <w:tr w:rsidR="009B1457" w:rsidRPr="009B1457" w14:paraId="5D790375" w14:textId="77777777" w:rsidTr="00350577">
        <w:trPr>
          <w:trHeight w:val="907"/>
        </w:trPr>
        <w:tc>
          <w:tcPr>
            <w:tcW w:w="4820" w:type="dxa"/>
            <w:vAlign w:val="center"/>
          </w:tcPr>
          <w:p w14:paraId="3E0444DC"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6557286D" w:rsidR="005E3667" w:rsidRPr="00350577" w:rsidRDefault="00350577" w:rsidP="00350577">
            <w:pPr>
              <w:spacing w:line="276" w:lineRule="auto"/>
              <w:rPr>
                <w:rFonts w:ascii="Arial" w:hAnsi="Arial" w:cs="Arial"/>
                <w:sz w:val="24"/>
                <w:szCs w:val="24"/>
              </w:rPr>
            </w:pPr>
            <w:r w:rsidRPr="00350577">
              <w:rPr>
                <w:rFonts w:ascii="Arial" w:hAnsi="Arial" w:cs="Arial"/>
                <w:sz w:val="24"/>
                <w:szCs w:val="24"/>
              </w:rPr>
              <w:t xml:space="preserve">Healthwatch </w:t>
            </w:r>
            <w:r>
              <w:rPr>
                <w:rFonts w:ascii="Arial" w:hAnsi="Arial" w:cs="Arial"/>
                <w:sz w:val="24"/>
                <w:szCs w:val="24"/>
              </w:rPr>
              <w:t xml:space="preserve">Leeds report ‘People’s experiences of end-of-life care in West Yorkshire’: </w:t>
            </w:r>
            <w:hyperlink r:id="rId14" w:history="1">
              <w:r w:rsidRPr="005C6D05">
                <w:rPr>
                  <w:rStyle w:val="Hyperlink"/>
                  <w:rFonts w:ascii="Arial" w:hAnsi="Arial" w:cs="Arial"/>
                  <w:sz w:val="24"/>
                  <w:szCs w:val="24"/>
                </w:rPr>
                <w:t>https://healthwatchleeds.co.uk/reports-recommendations/2024/end-of-life-care/</w:t>
              </w:r>
            </w:hyperlink>
            <w:r>
              <w:rPr>
                <w:rFonts w:ascii="Arial" w:hAnsi="Arial" w:cs="Arial"/>
                <w:sz w:val="24"/>
                <w:szCs w:val="24"/>
              </w:rPr>
              <w:t xml:space="preserve"> </w:t>
            </w:r>
          </w:p>
        </w:tc>
      </w:tr>
      <w:tr w:rsidR="009B1457" w:rsidRPr="009B1457" w14:paraId="36C17288" w14:textId="77777777" w:rsidTr="00350577">
        <w:trPr>
          <w:trHeight w:val="907"/>
        </w:trPr>
        <w:tc>
          <w:tcPr>
            <w:tcW w:w="4820" w:type="dxa"/>
            <w:vAlign w:val="center"/>
          </w:tcPr>
          <w:p w14:paraId="068679A5" w14:textId="72344703" w:rsidR="005E3667" w:rsidRPr="009B1457" w:rsidRDefault="1CE9B27C" w:rsidP="009B1457">
            <w:pPr>
              <w:spacing w:line="276" w:lineRule="auto"/>
              <w:rPr>
                <w:rFonts w:ascii="Arial" w:hAnsi="Arial" w:cs="Arial"/>
                <w:sz w:val="24"/>
                <w:szCs w:val="24"/>
              </w:rPr>
            </w:pPr>
            <w:r w:rsidRPr="009B1457">
              <w:rPr>
                <w:rFonts w:ascii="Arial" w:hAnsi="Arial" w:cs="Arial"/>
                <w:sz w:val="24"/>
                <w:szCs w:val="24"/>
              </w:rPr>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6FF5761F" w14:textId="5172305A" w:rsidR="005E3667" w:rsidRPr="00350577" w:rsidRDefault="00350577" w:rsidP="00350577">
            <w:pPr>
              <w:spacing w:line="276" w:lineRule="auto"/>
              <w:rPr>
                <w:rFonts w:ascii="Arial" w:hAnsi="Arial" w:cs="Arial"/>
                <w:sz w:val="24"/>
                <w:szCs w:val="24"/>
              </w:rPr>
            </w:pPr>
            <w:r>
              <w:rPr>
                <w:rFonts w:ascii="Arial" w:hAnsi="Arial" w:cs="Arial"/>
                <w:sz w:val="24"/>
                <w:szCs w:val="24"/>
              </w:rPr>
              <w:t>N/A</w:t>
            </w:r>
          </w:p>
        </w:tc>
      </w:tr>
      <w:tr w:rsidR="009B1457" w:rsidRPr="009B1457" w14:paraId="0AA660FE" w14:textId="77777777" w:rsidTr="00350577">
        <w:trPr>
          <w:trHeight w:val="907"/>
        </w:trPr>
        <w:tc>
          <w:tcPr>
            <w:tcW w:w="4820" w:type="dxa"/>
            <w:vAlign w:val="center"/>
          </w:tcPr>
          <w:p w14:paraId="36539B35"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5814FAEF" w:rsidR="005E3667" w:rsidRPr="00350577" w:rsidRDefault="00350577" w:rsidP="00350577">
            <w:pPr>
              <w:spacing w:line="276" w:lineRule="auto"/>
              <w:rPr>
                <w:rFonts w:ascii="Arial" w:hAnsi="Arial" w:cs="Arial"/>
                <w:sz w:val="24"/>
                <w:szCs w:val="24"/>
              </w:rPr>
            </w:pPr>
            <w:r>
              <w:rPr>
                <w:rFonts w:ascii="Arial" w:hAnsi="Arial" w:cs="Arial"/>
                <w:sz w:val="24"/>
                <w:szCs w:val="24"/>
              </w:rPr>
              <w:t>N/A</w:t>
            </w: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466DD191"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98766A">
        <w:rPr>
          <w:rFonts w:ascii="Arial" w:hAnsi="Arial" w:cs="Arial"/>
          <w:sz w:val="24"/>
          <w:szCs w:val="24"/>
        </w:rPr>
        <w:t>in</w:t>
      </w:r>
      <w:r w:rsidRPr="00E24404">
        <w:rPr>
          <w:rFonts w:ascii="Arial" w:hAnsi="Arial" w:cs="Arial"/>
          <w:sz w:val="24"/>
          <w:szCs w:val="24"/>
        </w:rPr>
        <w:t xml:space="preserve"> </w:t>
      </w:r>
      <w:hyperlink w:anchor="_Appendix_A:_Impact" w:history="1">
        <w:r w:rsidR="0098766A">
          <w:rPr>
            <w:rStyle w:val="Hyperlink"/>
            <w:rFonts w:ascii="Arial" w:hAnsi="Arial" w:cs="Arial"/>
            <w:sz w:val="24"/>
            <w:szCs w:val="24"/>
          </w:rPr>
          <w:t>Appendix A</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350577" w14:paraId="092C6513" w14:textId="77777777" w:rsidTr="00350577">
        <w:trPr>
          <w:trHeight w:val="1134"/>
        </w:trPr>
        <w:tc>
          <w:tcPr>
            <w:tcW w:w="4054" w:type="dxa"/>
            <w:vAlign w:val="center"/>
          </w:tcPr>
          <w:p w14:paraId="1938642A" w14:textId="77777777" w:rsidR="00350577" w:rsidRPr="00555740" w:rsidRDefault="00350577" w:rsidP="003505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0601EBB1" w:rsidR="00350577" w:rsidRPr="00350577" w:rsidRDefault="00350577" w:rsidP="00350577">
            <w:pPr>
              <w:spacing w:before="240" w:line="276" w:lineRule="auto"/>
              <w:rPr>
                <w:rFonts w:ascii="Arial" w:hAnsi="Arial" w:cs="Arial"/>
                <w:sz w:val="24"/>
                <w:szCs w:val="24"/>
              </w:rPr>
            </w:pPr>
            <w:r w:rsidRPr="00350577">
              <w:rPr>
                <w:rFonts w:ascii="Arial" w:hAnsi="Arial" w:cs="Arial"/>
                <w:sz w:val="24"/>
                <w:szCs w:val="24"/>
              </w:rPr>
              <w:t>Loss of an environment considered safe. Stalls at Kirkgate Market did catch footfall not seen elsewhere.</w:t>
            </w:r>
          </w:p>
        </w:tc>
        <w:tc>
          <w:tcPr>
            <w:tcW w:w="2826" w:type="dxa"/>
            <w:shd w:val="clear" w:color="auto" w:fill="FFC000" w:themeFill="accent4"/>
            <w:vAlign w:val="center"/>
          </w:tcPr>
          <w:p w14:paraId="504AAC09" w14:textId="12BB8C1E" w:rsidR="00350577" w:rsidRPr="00350577" w:rsidRDefault="00350577" w:rsidP="00350577">
            <w:pPr>
              <w:spacing w:before="240" w:line="276" w:lineRule="auto"/>
              <w:jc w:val="center"/>
              <w:rPr>
                <w:rFonts w:ascii="Arial" w:hAnsi="Arial" w:cs="Arial"/>
                <w:b/>
                <w:bCs/>
                <w:sz w:val="24"/>
                <w:szCs w:val="24"/>
              </w:rPr>
            </w:pPr>
            <w:r w:rsidRPr="00350577">
              <w:rPr>
                <w:rFonts w:ascii="Arial" w:hAnsi="Arial" w:cs="Arial"/>
                <w:b/>
                <w:bCs/>
                <w:sz w:val="24"/>
                <w:szCs w:val="24"/>
              </w:rPr>
              <w:t xml:space="preserve">2 </w:t>
            </w:r>
            <w:proofErr w:type="gramStart"/>
            <w:r w:rsidRPr="00350577">
              <w:rPr>
                <w:rFonts w:ascii="Arial" w:hAnsi="Arial" w:cs="Arial"/>
                <w:b/>
                <w:bCs/>
                <w:sz w:val="24"/>
                <w:szCs w:val="24"/>
              </w:rPr>
              <w:t>x -2</w:t>
            </w:r>
            <w:proofErr w:type="gramEnd"/>
          </w:p>
        </w:tc>
        <w:tc>
          <w:tcPr>
            <w:tcW w:w="3894" w:type="dxa"/>
            <w:vAlign w:val="center"/>
          </w:tcPr>
          <w:p w14:paraId="5BB6A6DD" w14:textId="3FFB11D2" w:rsidR="00350577" w:rsidRPr="00350577" w:rsidRDefault="00350577" w:rsidP="00350577">
            <w:pPr>
              <w:spacing w:before="240" w:line="276" w:lineRule="auto"/>
              <w:rPr>
                <w:rFonts w:ascii="Arial" w:hAnsi="Arial" w:cs="Arial"/>
                <w:sz w:val="24"/>
                <w:szCs w:val="24"/>
              </w:rPr>
            </w:pPr>
            <w:r w:rsidRPr="00350577">
              <w:rPr>
                <w:rFonts w:ascii="Arial" w:hAnsi="Arial" w:cs="Arial"/>
                <w:sz w:val="24"/>
                <w:szCs w:val="24"/>
              </w:rPr>
              <w:t>Potential use of screens in GP surgeries to share information</w:t>
            </w:r>
          </w:p>
        </w:tc>
      </w:tr>
      <w:tr w:rsidR="00350577" w14:paraId="759250FD" w14:textId="77777777" w:rsidTr="00350577">
        <w:trPr>
          <w:trHeight w:val="1134"/>
        </w:trPr>
        <w:tc>
          <w:tcPr>
            <w:tcW w:w="4054" w:type="dxa"/>
            <w:vAlign w:val="center"/>
          </w:tcPr>
          <w:p w14:paraId="072E35E4" w14:textId="3F00FB0A" w:rsidR="00350577" w:rsidRPr="00555740" w:rsidRDefault="00350577" w:rsidP="00350577">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23057AA4" w14:textId="0DD2FDB0" w:rsidR="00350577" w:rsidRPr="00350577" w:rsidRDefault="00350577" w:rsidP="00350577">
            <w:pPr>
              <w:pStyle w:val="NormalWeb"/>
              <w:spacing w:line="276" w:lineRule="auto"/>
              <w:rPr>
                <w:rFonts w:ascii="Arial" w:hAnsi="Arial" w:cs="Arial"/>
                <w:sz w:val="24"/>
                <w:szCs w:val="24"/>
              </w:rPr>
            </w:pPr>
            <w:r w:rsidRPr="00350577">
              <w:rPr>
                <w:rFonts w:ascii="Arial" w:hAnsi="Arial" w:cs="Arial"/>
                <w:sz w:val="24"/>
                <w:szCs w:val="24"/>
              </w:rPr>
              <w:t>Communications</w:t>
            </w:r>
          </w:p>
          <w:p w14:paraId="12D610D9" w14:textId="38D5075C" w:rsidR="00350577" w:rsidRPr="00350577" w:rsidRDefault="00350577" w:rsidP="00350577">
            <w:pPr>
              <w:pStyle w:val="NormalWeb"/>
              <w:spacing w:line="276" w:lineRule="auto"/>
              <w:rPr>
                <w:rFonts w:ascii="Arial" w:hAnsi="Arial" w:cs="Arial"/>
                <w:sz w:val="24"/>
                <w:szCs w:val="24"/>
              </w:rPr>
            </w:pPr>
            <w:r w:rsidRPr="00350577">
              <w:rPr>
                <w:rFonts w:ascii="Arial" w:hAnsi="Arial" w:cs="Arial"/>
                <w:sz w:val="24"/>
                <w:szCs w:val="24"/>
              </w:rPr>
              <w:t>2023</w:t>
            </w:r>
            <w:r>
              <w:rPr>
                <w:rFonts w:ascii="Arial" w:hAnsi="Arial" w:cs="Arial"/>
                <w:sz w:val="24"/>
                <w:szCs w:val="24"/>
              </w:rPr>
              <w:t xml:space="preserve"> </w:t>
            </w:r>
            <w:r w:rsidRPr="00350577">
              <w:rPr>
                <w:rFonts w:ascii="Arial" w:hAnsi="Arial" w:cs="Arial"/>
                <w:sz w:val="24"/>
                <w:szCs w:val="24"/>
              </w:rPr>
              <w:t xml:space="preserve">- Social Media posts – each had a reach of 200 – 300 people, with some reaching up to 2,000 – unsure of </w:t>
            </w:r>
            <w:r>
              <w:rPr>
                <w:rFonts w:ascii="Arial" w:hAnsi="Arial" w:cs="Arial"/>
                <w:sz w:val="24"/>
                <w:szCs w:val="24"/>
              </w:rPr>
              <w:t xml:space="preserve">the </w:t>
            </w:r>
            <w:r w:rsidRPr="00350577">
              <w:rPr>
                <w:rFonts w:ascii="Arial" w:hAnsi="Arial" w:cs="Arial"/>
                <w:sz w:val="24"/>
                <w:szCs w:val="24"/>
              </w:rPr>
              <w:t>impact of LBF going on this reach</w:t>
            </w:r>
          </w:p>
        </w:tc>
        <w:tc>
          <w:tcPr>
            <w:tcW w:w="2826" w:type="dxa"/>
            <w:shd w:val="clear" w:color="auto" w:fill="FFC000" w:themeFill="accent4"/>
            <w:vAlign w:val="center"/>
          </w:tcPr>
          <w:p w14:paraId="3950FDF8" w14:textId="1173F4E6" w:rsidR="00350577" w:rsidRPr="00350577" w:rsidRDefault="00350577" w:rsidP="00350577">
            <w:pPr>
              <w:spacing w:before="240" w:line="276" w:lineRule="auto"/>
              <w:jc w:val="center"/>
              <w:rPr>
                <w:rFonts w:ascii="Arial" w:hAnsi="Arial" w:cs="Arial"/>
                <w:b/>
                <w:bCs/>
                <w:sz w:val="24"/>
                <w:szCs w:val="24"/>
              </w:rPr>
            </w:pPr>
            <w:r w:rsidRPr="00350577">
              <w:rPr>
                <w:rFonts w:ascii="Arial" w:hAnsi="Arial" w:cs="Arial"/>
                <w:b/>
                <w:bCs/>
                <w:sz w:val="24"/>
                <w:szCs w:val="24"/>
              </w:rPr>
              <w:t xml:space="preserve">3 </w:t>
            </w:r>
            <w:proofErr w:type="gramStart"/>
            <w:r w:rsidRPr="00350577">
              <w:rPr>
                <w:rFonts w:ascii="Arial" w:hAnsi="Arial" w:cs="Arial"/>
                <w:b/>
                <w:bCs/>
                <w:sz w:val="24"/>
                <w:szCs w:val="24"/>
              </w:rPr>
              <w:t>x -3</w:t>
            </w:r>
            <w:proofErr w:type="gramEnd"/>
          </w:p>
        </w:tc>
        <w:tc>
          <w:tcPr>
            <w:tcW w:w="3894" w:type="dxa"/>
            <w:vAlign w:val="center"/>
          </w:tcPr>
          <w:p w14:paraId="732BE237" w14:textId="37E7C1A7" w:rsidR="00350577" w:rsidRPr="00350577" w:rsidRDefault="00350577" w:rsidP="00350577">
            <w:pPr>
              <w:pStyle w:val="NormalWeb"/>
              <w:spacing w:line="276" w:lineRule="auto"/>
              <w:rPr>
                <w:rFonts w:ascii="Arial" w:hAnsi="Arial" w:cs="Arial"/>
                <w:sz w:val="24"/>
                <w:szCs w:val="24"/>
              </w:rPr>
            </w:pPr>
            <w:r w:rsidRPr="00350577">
              <w:rPr>
                <w:rFonts w:ascii="Arial" w:hAnsi="Arial" w:cs="Arial"/>
                <w:sz w:val="24"/>
                <w:szCs w:val="24"/>
              </w:rPr>
              <w:t>2024 - An element of comms will continue with the partnership and a workforce awareness session. There is a little underspend available (£2</w:t>
            </w:r>
            <w:r>
              <w:rPr>
                <w:rFonts w:ascii="Arial" w:hAnsi="Arial" w:cs="Arial"/>
                <w:sz w:val="24"/>
                <w:szCs w:val="24"/>
              </w:rPr>
              <w:t>000</w:t>
            </w:r>
            <w:r w:rsidRPr="00350577">
              <w:rPr>
                <w:rFonts w:ascii="Arial" w:hAnsi="Arial" w:cs="Arial"/>
                <w:sz w:val="24"/>
                <w:szCs w:val="24"/>
              </w:rPr>
              <w:t>).</w:t>
            </w:r>
          </w:p>
        </w:tc>
      </w:tr>
      <w:tr w:rsidR="00785EB0" w14:paraId="71202D11" w14:textId="77777777" w:rsidTr="00350577">
        <w:trPr>
          <w:trHeight w:val="1134"/>
        </w:trPr>
        <w:tc>
          <w:tcPr>
            <w:tcW w:w="4054" w:type="dxa"/>
            <w:vAlign w:val="center"/>
          </w:tcPr>
          <w:p w14:paraId="0939E13D" w14:textId="77777777" w:rsidR="00785EB0" w:rsidRPr="00555740" w:rsidRDefault="00785EB0" w:rsidP="00DA0092">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0C82A739" w14:textId="77777777" w:rsidR="00785EB0" w:rsidRDefault="00785EB0" w:rsidP="00350577">
            <w:pPr>
              <w:spacing w:before="240" w:line="276" w:lineRule="auto"/>
            </w:pPr>
          </w:p>
        </w:tc>
        <w:tc>
          <w:tcPr>
            <w:tcW w:w="2826" w:type="dxa"/>
            <w:shd w:val="clear" w:color="auto" w:fill="FFC000"/>
            <w:vAlign w:val="center"/>
          </w:tcPr>
          <w:p w14:paraId="0B55E2D1" w14:textId="6DDF5336" w:rsidR="00785EB0" w:rsidRPr="00350577" w:rsidRDefault="00350577" w:rsidP="00350577">
            <w:pPr>
              <w:spacing w:before="240" w:line="276" w:lineRule="auto"/>
              <w:jc w:val="center"/>
              <w:rPr>
                <w:rFonts w:ascii="Arial" w:hAnsi="Arial" w:cs="Arial"/>
                <w:b/>
                <w:bCs/>
                <w:sz w:val="24"/>
                <w:szCs w:val="24"/>
              </w:rPr>
            </w:pPr>
            <w:r w:rsidRPr="00350577">
              <w:rPr>
                <w:rFonts w:ascii="Arial" w:hAnsi="Arial" w:cs="Arial"/>
                <w:b/>
                <w:bCs/>
                <w:sz w:val="24"/>
                <w:szCs w:val="24"/>
              </w:rPr>
              <w:t xml:space="preserve">1 </w:t>
            </w:r>
            <w:proofErr w:type="gramStart"/>
            <w:r w:rsidRPr="00350577">
              <w:rPr>
                <w:rFonts w:ascii="Arial" w:hAnsi="Arial" w:cs="Arial"/>
                <w:b/>
                <w:bCs/>
                <w:sz w:val="24"/>
                <w:szCs w:val="24"/>
              </w:rPr>
              <w:t>x -1</w:t>
            </w:r>
            <w:proofErr w:type="gramEnd"/>
          </w:p>
        </w:tc>
        <w:tc>
          <w:tcPr>
            <w:tcW w:w="3894" w:type="dxa"/>
            <w:vAlign w:val="center"/>
          </w:tcPr>
          <w:p w14:paraId="78EB2CBC" w14:textId="77777777" w:rsidR="00785EB0" w:rsidRDefault="00785EB0" w:rsidP="00350577">
            <w:pPr>
              <w:spacing w:before="240" w:line="276" w:lineRule="auto"/>
            </w:pPr>
          </w:p>
        </w:tc>
      </w:tr>
      <w:tr w:rsidR="00785EB0" w14:paraId="6ED01EE3" w14:textId="77777777" w:rsidTr="00F11877">
        <w:trPr>
          <w:trHeight w:val="1134"/>
        </w:trPr>
        <w:tc>
          <w:tcPr>
            <w:tcW w:w="4054" w:type="dxa"/>
            <w:vAlign w:val="center"/>
          </w:tcPr>
          <w:p w14:paraId="7A6DE048" w14:textId="77777777" w:rsidR="00785EB0" w:rsidRPr="00555740" w:rsidRDefault="00785EB0" w:rsidP="00DA0092">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1365DB88" w:rsidR="00785EB0" w:rsidRPr="00F11877" w:rsidRDefault="00F11877" w:rsidP="00F11877">
            <w:pPr>
              <w:spacing w:before="240" w:line="276" w:lineRule="auto"/>
              <w:rPr>
                <w:rFonts w:ascii="Arial" w:hAnsi="Arial" w:cs="Arial"/>
                <w:sz w:val="24"/>
                <w:szCs w:val="24"/>
              </w:rPr>
            </w:pPr>
            <w:r w:rsidRPr="00F11877">
              <w:rPr>
                <w:rFonts w:ascii="Arial" w:hAnsi="Arial" w:cs="Arial"/>
                <w:sz w:val="24"/>
                <w:szCs w:val="24"/>
              </w:rPr>
              <w:t xml:space="preserve">LBF and Dying Matters grants often had a focus on equality and campaigned accordingly, for example LBF highlighted a local gap in support for people with learning disability. </w:t>
            </w:r>
            <w:proofErr w:type="gramStart"/>
            <w:r w:rsidRPr="00F11877">
              <w:rPr>
                <w:rFonts w:ascii="Arial" w:hAnsi="Arial" w:cs="Arial"/>
                <w:sz w:val="24"/>
                <w:szCs w:val="24"/>
              </w:rPr>
              <w:t>Also</w:t>
            </w:r>
            <w:proofErr w:type="gramEnd"/>
            <w:r w:rsidRPr="00F11877">
              <w:rPr>
                <w:rFonts w:ascii="Arial" w:hAnsi="Arial" w:cs="Arial"/>
                <w:sz w:val="24"/>
                <w:szCs w:val="24"/>
              </w:rPr>
              <w:t xml:space="preserve"> in 2023 lots of applications were received from and ended up funding a range of activities including: coffee mornings, memory boxes, mandala and </w:t>
            </w:r>
            <w:r w:rsidRPr="00F11877">
              <w:rPr>
                <w:rFonts w:ascii="Arial" w:hAnsi="Arial" w:cs="Arial"/>
                <w:sz w:val="24"/>
                <w:szCs w:val="24"/>
              </w:rPr>
              <w:lastRenderedPageBreak/>
              <w:t>mosaic making workshops, a creative writing workshop, and events with end of life doulas. Audiences included Leeds GATE, the BME Dementia Service, Leeds Involving People aimed at the Deaf Community, and a ‘West Leeds collective’</w:t>
            </w:r>
          </w:p>
        </w:tc>
        <w:tc>
          <w:tcPr>
            <w:tcW w:w="2826" w:type="dxa"/>
            <w:shd w:val="clear" w:color="auto" w:fill="FFC000"/>
            <w:vAlign w:val="center"/>
          </w:tcPr>
          <w:p w14:paraId="5624026A" w14:textId="3D62A53B" w:rsidR="00785EB0" w:rsidRPr="00F11877" w:rsidRDefault="00F11877" w:rsidP="00F11877">
            <w:pPr>
              <w:spacing w:before="240" w:line="276" w:lineRule="auto"/>
              <w:jc w:val="center"/>
              <w:rPr>
                <w:sz w:val="24"/>
                <w:szCs w:val="24"/>
              </w:rPr>
            </w:pPr>
            <w:r w:rsidRPr="00350577">
              <w:rPr>
                <w:rFonts w:ascii="Arial" w:hAnsi="Arial" w:cs="Arial"/>
                <w:b/>
                <w:bCs/>
                <w:sz w:val="24"/>
                <w:szCs w:val="24"/>
              </w:rPr>
              <w:lastRenderedPageBreak/>
              <w:t xml:space="preserve">3 </w:t>
            </w:r>
            <w:proofErr w:type="gramStart"/>
            <w:r w:rsidRPr="00350577">
              <w:rPr>
                <w:rFonts w:ascii="Arial" w:hAnsi="Arial" w:cs="Arial"/>
                <w:b/>
                <w:bCs/>
                <w:sz w:val="24"/>
                <w:szCs w:val="24"/>
              </w:rPr>
              <w:t>x -3</w:t>
            </w:r>
            <w:proofErr w:type="gramEnd"/>
          </w:p>
        </w:tc>
        <w:tc>
          <w:tcPr>
            <w:tcW w:w="3894" w:type="dxa"/>
            <w:vAlign w:val="center"/>
          </w:tcPr>
          <w:p w14:paraId="3E7D7A78" w14:textId="52E5DDE3" w:rsidR="00785EB0" w:rsidRPr="00F11877" w:rsidRDefault="00F11877" w:rsidP="00350577">
            <w:pPr>
              <w:spacing w:before="240" w:line="276" w:lineRule="auto"/>
              <w:rPr>
                <w:rFonts w:ascii="Arial" w:hAnsi="Arial" w:cs="Arial"/>
                <w:sz w:val="24"/>
                <w:szCs w:val="24"/>
              </w:rPr>
            </w:pPr>
            <w:r>
              <w:rPr>
                <w:rFonts w:ascii="Arial" w:hAnsi="Arial" w:cs="Arial"/>
                <w:sz w:val="24"/>
                <w:szCs w:val="24"/>
              </w:rPr>
              <w:t>No mitigating actions yet identified</w:t>
            </w:r>
          </w:p>
        </w:tc>
      </w:tr>
      <w:tr w:rsidR="00785EB0" w14:paraId="1C2B5469" w14:textId="77777777" w:rsidTr="00F11877">
        <w:trPr>
          <w:trHeight w:val="1134"/>
        </w:trPr>
        <w:tc>
          <w:tcPr>
            <w:tcW w:w="4054" w:type="dxa"/>
            <w:vAlign w:val="center"/>
          </w:tcPr>
          <w:p w14:paraId="413DEDBD" w14:textId="77777777" w:rsidR="00785EB0" w:rsidRPr="00555740" w:rsidRDefault="00785EB0" w:rsidP="00DA0092">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1E045F28" w:rsidR="00223E76" w:rsidRPr="00F11877" w:rsidRDefault="00223E76" w:rsidP="00F11877">
            <w:pPr>
              <w:spacing w:before="240" w:line="276" w:lineRule="auto"/>
              <w:rPr>
                <w:rFonts w:ascii="Arial" w:hAnsi="Arial" w:cs="Arial"/>
                <w:sz w:val="24"/>
                <w:szCs w:val="24"/>
              </w:rPr>
            </w:pPr>
          </w:p>
        </w:tc>
        <w:tc>
          <w:tcPr>
            <w:tcW w:w="2826" w:type="dxa"/>
            <w:shd w:val="clear" w:color="auto" w:fill="FFC000"/>
            <w:vAlign w:val="center"/>
          </w:tcPr>
          <w:p w14:paraId="71E24167" w14:textId="171CE7C2" w:rsidR="00785EB0" w:rsidRPr="00F11877" w:rsidRDefault="00F11877" w:rsidP="00F11877">
            <w:pPr>
              <w:spacing w:before="240" w:line="276" w:lineRule="auto"/>
              <w:jc w:val="center"/>
              <w:rPr>
                <w:rFonts w:ascii="Arial" w:hAnsi="Arial" w:cs="Arial"/>
                <w:sz w:val="24"/>
                <w:szCs w:val="24"/>
              </w:rPr>
            </w:pPr>
            <w:r w:rsidRPr="00350577">
              <w:rPr>
                <w:rFonts w:ascii="Arial" w:hAnsi="Arial" w:cs="Arial"/>
                <w:b/>
                <w:bCs/>
                <w:sz w:val="24"/>
                <w:szCs w:val="24"/>
              </w:rPr>
              <w:t xml:space="preserve">3 </w:t>
            </w:r>
            <w:proofErr w:type="gramStart"/>
            <w:r w:rsidRPr="00350577">
              <w:rPr>
                <w:rFonts w:ascii="Arial" w:hAnsi="Arial" w:cs="Arial"/>
                <w:b/>
                <w:bCs/>
                <w:sz w:val="24"/>
                <w:szCs w:val="24"/>
              </w:rPr>
              <w:t>x -3</w:t>
            </w:r>
            <w:proofErr w:type="gramEnd"/>
          </w:p>
        </w:tc>
        <w:tc>
          <w:tcPr>
            <w:tcW w:w="3894" w:type="dxa"/>
            <w:vAlign w:val="center"/>
          </w:tcPr>
          <w:p w14:paraId="0FF3EF2D" w14:textId="77777777" w:rsidR="00785EB0" w:rsidRPr="00F11877" w:rsidRDefault="00785EB0" w:rsidP="00F11877">
            <w:pPr>
              <w:spacing w:before="240" w:line="276" w:lineRule="auto"/>
              <w:rPr>
                <w:rFonts w:ascii="Arial" w:hAnsi="Arial" w:cs="Arial"/>
                <w:sz w:val="24"/>
                <w:szCs w:val="24"/>
              </w:rPr>
            </w:pPr>
          </w:p>
        </w:tc>
      </w:tr>
      <w:tr w:rsidR="00F11877" w14:paraId="233CD99D" w14:textId="77777777" w:rsidTr="00F11877">
        <w:trPr>
          <w:trHeight w:val="1134"/>
        </w:trPr>
        <w:tc>
          <w:tcPr>
            <w:tcW w:w="4054" w:type="dxa"/>
            <w:vAlign w:val="center"/>
          </w:tcPr>
          <w:p w14:paraId="4552096D" w14:textId="77777777" w:rsidR="00F11877" w:rsidRPr="00555740" w:rsidRDefault="00F11877" w:rsidP="00F118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7121C23B" w:rsidR="00F11877" w:rsidRPr="00F11877" w:rsidRDefault="00F11877" w:rsidP="00F11877">
            <w:pPr>
              <w:spacing w:before="240" w:line="276" w:lineRule="auto"/>
              <w:rPr>
                <w:rFonts w:ascii="Arial" w:hAnsi="Arial" w:cs="Arial"/>
                <w:sz w:val="24"/>
                <w:szCs w:val="24"/>
              </w:rPr>
            </w:pPr>
            <w:r w:rsidRPr="00F11877">
              <w:rPr>
                <w:rFonts w:ascii="Arial" w:hAnsi="Arial" w:cs="Arial"/>
                <w:sz w:val="24"/>
                <w:szCs w:val="24"/>
              </w:rPr>
              <w:t>Is likely to affect morale across partners</w:t>
            </w:r>
          </w:p>
        </w:tc>
        <w:tc>
          <w:tcPr>
            <w:tcW w:w="2826" w:type="dxa"/>
            <w:shd w:val="clear" w:color="auto" w:fill="FF0000"/>
            <w:vAlign w:val="center"/>
          </w:tcPr>
          <w:p w14:paraId="6575FCF5" w14:textId="37254367" w:rsidR="00F11877" w:rsidRPr="00F11877" w:rsidRDefault="00F11877" w:rsidP="00F11877">
            <w:pPr>
              <w:spacing w:before="240" w:line="276" w:lineRule="auto"/>
              <w:jc w:val="center"/>
              <w:rPr>
                <w:rFonts w:ascii="Arial" w:hAnsi="Arial" w:cs="Arial"/>
                <w:b/>
                <w:bCs/>
                <w:sz w:val="24"/>
                <w:szCs w:val="24"/>
              </w:rPr>
            </w:pPr>
            <w:r w:rsidRPr="00F11877">
              <w:rPr>
                <w:rFonts w:ascii="Arial" w:hAnsi="Arial" w:cs="Arial"/>
                <w:b/>
                <w:bCs/>
                <w:sz w:val="24"/>
                <w:szCs w:val="24"/>
              </w:rPr>
              <w:t xml:space="preserve">4 </w:t>
            </w:r>
            <w:proofErr w:type="gramStart"/>
            <w:r w:rsidRPr="00F11877">
              <w:rPr>
                <w:rFonts w:ascii="Arial" w:hAnsi="Arial" w:cs="Arial"/>
                <w:b/>
                <w:bCs/>
                <w:sz w:val="24"/>
                <w:szCs w:val="24"/>
              </w:rPr>
              <w:t>x -3</w:t>
            </w:r>
            <w:proofErr w:type="gramEnd"/>
          </w:p>
        </w:tc>
        <w:tc>
          <w:tcPr>
            <w:tcW w:w="3894" w:type="dxa"/>
          </w:tcPr>
          <w:p w14:paraId="7A7630D8" w14:textId="2B978489" w:rsidR="00F11877" w:rsidRPr="00F11877" w:rsidRDefault="00F11877" w:rsidP="00F11877">
            <w:pPr>
              <w:spacing w:before="240" w:line="276" w:lineRule="auto"/>
              <w:rPr>
                <w:rFonts w:ascii="Arial" w:hAnsi="Arial" w:cs="Arial"/>
                <w:sz w:val="24"/>
                <w:szCs w:val="24"/>
              </w:rPr>
            </w:pPr>
            <w:r w:rsidRPr="00F11877">
              <w:rPr>
                <w:rFonts w:ascii="Arial" w:hAnsi="Arial" w:cs="Arial"/>
                <w:sz w:val="24"/>
                <w:szCs w:val="24"/>
              </w:rPr>
              <w:t>Communication to the board and stakeholders</w:t>
            </w:r>
          </w:p>
        </w:tc>
      </w:tr>
      <w:tr w:rsidR="00F11877" w14:paraId="32C53DB6" w14:textId="77777777" w:rsidTr="00F11877">
        <w:trPr>
          <w:trHeight w:val="1134"/>
        </w:trPr>
        <w:tc>
          <w:tcPr>
            <w:tcW w:w="4054" w:type="dxa"/>
            <w:vAlign w:val="center"/>
          </w:tcPr>
          <w:p w14:paraId="3AED3212" w14:textId="77777777" w:rsidR="00F11877" w:rsidRPr="00555740" w:rsidRDefault="00F11877" w:rsidP="00F118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31928182" w:rsidR="00F11877" w:rsidRPr="00F11877" w:rsidRDefault="00F11877" w:rsidP="00F11877">
            <w:pPr>
              <w:spacing w:before="240" w:line="276" w:lineRule="auto"/>
              <w:rPr>
                <w:rFonts w:ascii="Arial" w:hAnsi="Arial" w:cs="Arial"/>
                <w:sz w:val="24"/>
                <w:szCs w:val="24"/>
              </w:rPr>
            </w:pPr>
            <w:r w:rsidRPr="00F11877">
              <w:rPr>
                <w:rFonts w:ascii="Arial" w:hAnsi="Arial" w:cs="Arial"/>
                <w:sz w:val="24"/>
                <w:szCs w:val="24"/>
              </w:rPr>
              <w:t>Dying Matters and LBF that delivered it had a focus on health inequalities, losing both will therefore have a negative impact in relation to health inequalities</w:t>
            </w:r>
            <w:r>
              <w:rPr>
                <w:rFonts w:ascii="Arial" w:hAnsi="Arial" w:cs="Arial"/>
                <w:sz w:val="24"/>
                <w:szCs w:val="24"/>
              </w:rPr>
              <w:t>.</w:t>
            </w:r>
          </w:p>
        </w:tc>
        <w:tc>
          <w:tcPr>
            <w:tcW w:w="2826" w:type="dxa"/>
            <w:shd w:val="clear" w:color="auto" w:fill="FFC000"/>
            <w:vAlign w:val="center"/>
          </w:tcPr>
          <w:p w14:paraId="6F3F3271" w14:textId="51DAB4DF" w:rsidR="00F11877" w:rsidRPr="00F11877" w:rsidRDefault="00F11877" w:rsidP="00F11877">
            <w:pPr>
              <w:spacing w:before="240" w:line="276" w:lineRule="auto"/>
              <w:jc w:val="center"/>
              <w:rPr>
                <w:rFonts w:ascii="Arial" w:hAnsi="Arial" w:cs="Arial"/>
                <w:sz w:val="24"/>
                <w:szCs w:val="24"/>
              </w:rPr>
            </w:pPr>
            <w:r w:rsidRPr="00350577">
              <w:rPr>
                <w:rFonts w:ascii="Arial" w:hAnsi="Arial" w:cs="Arial"/>
                <w:b/>
                <w:bCs/>
                <w:sz w:val="24"/>
                <w:szCs w:val="24"/>
              </w:rPr>
              <w:t xml:space="preserve">3 </w:t>
            </w:r>
            <w:proofErr w:type="gramStart"/>
            <w:r w:rsidRPr="00350577">
              <w:rPr>
                <w:rFonts w:ascii="Arial" w:hAnsi="Arial" w:cs="Arial"/>
                <w:b/>
                <w:bCs/>
                <w:sz w:val="24"/>
                <w:szCs w:val="24"/>
              </w:rPr>
              <w:t>x -3</w:t>
            </w:r>
            <w:proofErr w:type="gramEnd"/>
          </w:p>
        </w:tc>
        <w:tc>
          <w:tcPr>
            <w:tcW w:w="3894" w:type="dxa"/>
            <w:vAlign w:val="center"/>
          </w:tcPr>
          <w:p w14:paraId="667F0A91" w14:textId="4E599E36" w:rsidR="00F11877" w:rsidRPr="00F11877" w:rsidRDefault="00F11877" w:rsidP="00F11877">
            <w:pPr>
              <w:spacing w:before="240" w:line="276" w:lineRule="auto"/>
              <w:rPr>
                <w:rFonts w:ascii="Arial" w:hAnsi="Arial" w:cs="Arial"/>
                <w:sz w:val="24"/>
                <w:szCs w:val="24"/>
              </w:rPr>
            </w:pPr>
            <w:r>
              <w:rPr>
                <w:rFonts w:ascii="Arial" w:hAnsi="Arial" w:cs="Arial"/>
                <w:sz w:val="24"/>
                <w:szCs w:val="24"/>
              </w:rPr>
              <w:t>No mitigating actions yet identified</w:t>
            </w:r>
          </w:p>
        </w:tc>
      </w:tr>
      <w:tr w:rsidR="00785EB0" w14:paraId="6A097439" w14:textId="77777777" w:rsidTr="00F11877">
        <w:trPr>
          <w:trHeight w:val="1134"/>
        </w:trPr>
        <w:tc>
          <w:tcPr>
            <w:tcW w:w="4054" w:type="dxa"/>
            <w:vAlign w:val="center"/>
          </w:tcPr>
          <w:p w14:paraId="53DD2B35" w14:textId="77777777" w:rsidR="00785EB0" w:rsidRPr="00555740" w:rsidRDefault="00785EB0" w:rsidP="00DA0092">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77777777" w:rsidR="00785EB0" w:rsidRPr="00F11877" w:rsidRDefault="00785EB0" w:rsidP="00F11877">
            <w:pPr>
              <w:spacing w:before="240" w:line="276" w:lineRule="auto"/>
              <w:rPr>
                <w:rFonts w:ascii="Arial" w:hAnsi="Arial" w:cs="Arial"/>
                <w:sz w:val="24"/>
                <w:szCs w:val="24"/>
              </w:rPr>
            </w:pPr>
          </w:p>
        </w:tc>
        <w:tc>
          <w:tcPr>
            <w:tcW w:w="2826" w:type="dxa"/>
            <w:shd w:val="clear" w:color="auto" w:fill="FFC000"/>
            <w:vAlign w:val="center"/>
          </w:tcPr>
          <w:p w14:paraId="42087FA5" w14:textId="77777777" w:rsidR="00785EB0" w:rsidRPr="00F11877" w:rsidRDefault="00785EB0" w:rsidP="00F11877">
            <w:pPr>
              <w:spacing w:before="240" w:line="276" w:lineRule="auto"/>
              <w:rPr>
                <w:rFonts w:ascii="Arial" w:hAnsi="Arial" w:cs="Arial"/>
                <w:sz w:val="24"/>
                <w:szCs w:val="24"/>
              </w:rPr>
            </w:pPr>
          </w:p>
        </w:tc>
        <w:tc>
          <w:tcPr>
            <w:tcW w:w="3894" w:type="dxa"/>
            <w:vAlign w:val="center"/>
          </w:tcPr>
          <w:p w14:paraId="5B15AFE3" w14:textId="77777777" w:rsidR="00785EB0" w:rsidRPr="00F11877" w:rsidRDefault="00785EB0" w:rsidP="00F11877">
            <w:pPr>
              <w:spacing w:before="240" w:line="276" w:lineRule="auto"/>
              <w:rPr>
                <w:rFonts w:ascii="Arial" w:hAnsi="Arial" w:cs="Arial"/>
                <w:sz w:val="24"/>
                <w:szCs w:val="24"/>
              </w:rPr>
            </w:pPr>
          </w:p>
        </w:tc>
      </w:tr>
      <w:tr w:rsidR="00F11877" w14:paraId="4FEA3370" w14:textId="77777777" w:rsidTr="00F11877">
        <w:trPr>
          <w:trHeight w:val="1134"/>
        </w:trPr>
        <w:tc>
          <w:tcPr>
            <w:tcW w:w="4054" w:type="dxa"/>
            <w:vAlign w:val="center"/>
          </w:tcPr>
          <w:p w14:paraId="07BCA9F8" w14:textId="77777777" w:rsidR="00F11877" w:rsidRPr="00555740" w:rsidRDefault="00F11877" w:rsidP="00F11877">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vAlign w:val="center"/>
          </w:tcPr>
          <w:p w14:paraId="6BD13AD9" w14:textId="48039C34" w:rsidR="00F11877" w:rsidRDefault="00F11877" w:rsidP="00F11877">
            <w:pPr>
              <w:spacing w:before="240" w:line="276" w:lineRule="auto"/>
            </w:pPr>
            <w:r w:rsidRPr="00F11877">
              <w:rPr>
                <w:rFonts w:ascii="Arial" w:hAnsi="Arial" w:cs="Arial"/>
                <w:sz w:val="24"/>
                <w:szCs w:val="24"/>
              </w:rPr>
              <w:t xml:space="preserve">Impact </w:t>
            </w:r>
            <w:r>
              <w:rPr>
                <w:rFonts w:ascii="Arial" w:hAnsi="Arial" w:cs="Arial"/>
                <w:sz w:val="24"/>
                <w:szCs w:val="24"/>
              </w:rPr>
              <w:t>on</w:t>
            </w:r>
            <w:r w:rsidRPr="00F11877">
              <w:rPr>
                <w:rFonts w:ascii="Arial" w:hAnsi="Arial" w:cs="Arial"/>
                <w:sz w:val="24"/>
                <w:szCs w:val="24"/>
              </w:rPr>
              <w:t xml:space="preserve"> the reputation of the board and ICB as contracts are ended, although as LBF are closing</w:t>
            </w:r>
            <w:r>
              <w:rPr>
                <w:rFonts w:ascii="Arial" w:hAnsi="Arial" w:cs="Arial"/>
                <w:sz w:val="24"/>
                <w:szCs w:val="24"/>
              </w:rPr>
              <w:t>,</w:t>
            </w:r>
            <w:r w:rsidRPr="00F11877">
              <w:rPr>
                <w:rFonts w:ascii="Arial" w:hAnsi="Arial" w:cs="Arial"/>
                <w:sz w:val="24"/>
                <w:szCs w:val="24"/>
              </w:rPr>
              <w:t xml:space="preserve"> the mechanism for delivery for much of the area will be lost.</w:t>
            </w:r>
          </w:p>
        </w:tc>
        <w:tc>
          <w:tcPr>
            <w:tcW w:w="2826" w:type="dxa"/>
            <w:shd w:val="clear" w:color="auto" w:fill="FF0000"/>
            <w:vAlign w:val="center"/>
          </w:tcPr>
          <w:p w14:paraId="54CB9A08" w14:textId="5D9E1A9F" w:rsidR="00F11877" w:rsidRDefault="00F11877" w:rsidP="00F11877">
            <w:pPr>
              <w:spacing w:before="240" w:line="276" w:lineRule="auto"/>
              <w:jc w:val="center"/>
            </w:pPr>
            <w:r w:rsidRPr="00F11877">
              <w:rPr>
                <w:rFonts w:ascii="Arial" w:hAnsi="Arial" w:cs="Arial"/>
                <w:b/>
                <w:bCs/>
                <w:sz w:val="24"/>
                <w:szCs w:val="24"/>
              </w:rPr>
              <w:t xml:space="preserve">4 </w:t>
            </w:r>
            <w:proofErr w:type="gramStart"/>
            <w:r w:rsidRPr="00F11877">
              <w:rPr>
                <w:rFonts w:ascii="Arial" w:hAnsi="Arial" w:cs="Arial"/>
                <w:b/>
                <w:bCs/>
                <w:sz w:val="24"/>
                <w:szCs w:val="24"/>
              </w:rPr>
              <w:t>x -3</w:t>
            </w:r>
            <w:proofErr w:type="gramEnd"/>
          </w:p>
        </w:tc>
        <w:tc>
          <w:tcPr>
            <w:tcW w:w="3894" w:type="dxa"/>
            <w:vAlign w:val="center"/>
          </w:tcPr>
          <w:p w14:paraId="21E100D8" w14:textId="5B682E18" w:rsidR="00F11877" w:rsidRDefault="00F11877" w:rsidP="00F11877">
            <w:pPr>
              <w:spacing w:before="240" w:line="276" w:lineRule="auto"/>
            </w:pPr>
            <w:r w:rsidRPr="00F11877">
              <w:rPr>
                <w:rFonts w:ascii="Arial" w:hAnsi="Arial" w:cs="Arial"/>
                <w:sz w:val="24"/>
                <w:szCs w:val="24"/>
              </w:rPr>
              <w:t>Communication to the board and stakeholders</w:t>
            </w:r>
            <w:r>
              <w:rPr>
                <w:rFonts w:ascii="Arial" w:hAnsi="Arial" w:cs="Arial"/>
                <w:sz w:val="24"/>
                <w:szCs w:val="24"/>
              </w:rPr>
              <w:t>.</w:t>
            </w:r>
          </w:p>
        </w:tc>
      </w:tr>
    </w:tbl>
    <w:p w14:paraId="15E78160" w14:textId="6D5AFD04" w:rsidR="00785EB0" w:rsidRDefault="00785EB0" w:rsidP="00DA0092">
      <w:pPr>
        <w:spacing w:after="0" w:line="276" w:lineRule="auto"/>
      </w:pPr>
    </w:p>
    <w:p w14:paraId="6381B28B" w14:textId="77777777" w:rsidR="00E24404" w:rsidRDefault="00E24404" w:rsidP="00DA0092">
      <w:pPr>
        <w:spacing w:line="276" w:lineRule="auto"/>
      </w:pPr>
    </w:p>
    <w:p w14:paraId="705A7B29" w14:textId="77777777" w:rsidR="00E24404" w:rsidRDefault="00E24404" w:rsidP="00E24404">
      <w:pPr>
        <w:pStyle w:val="Heading2"/>
      </w:pPr>
      <w:bookmarkStart w:id="1" w:name="_H._Action_Plan"/>
      <w:bookmarkEnd w:id="1"/>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F11877" w14:paraId="26D86E22" w14:textId="77777777" w:rsidTr="00F11877">
        <w:trPr>
          <w:trHeight w:val="340"/>
        </w:trPr>
        <w:tc>
          <w:tcPr>
            <w:tcW w:w="2540" w:type="dxa"/>
            <w:vAlign w:val="center"/>
          </w:tcPr>
          <w:p w14:paraId="3094FCA9" w14:textId="2B6B3103"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 xml:space="preserve">There will be less community-based activities during Dying Matters week </w:t>
            </w:r>
            <w:r w:rsidRPr="00F11877">
              <w:rPr>
                <w:rFonts w:ascii="Arial" w:hAnsi="Arial" w:cs="Arial"/>
                <w:sz w:val="24"/>
                <w:szCs w:val="24"/>
              </w:rPr>
              <w:lastRenderedPageBreak/>
              <w:t>in 2024 and going forwards</w:t>
            </w:r>
          </w:p>
        </w:tc>
        <w:tc>
          <w:tcPr>
            <w:tcW w:w="3516" w:type="dxa"/>
            <w:vAlign w:val="center"/>
          </w:tcPr>
          <w:p w14:paraId="4A43FEE1" w14:textId="77777777" w:rsidR="00F11877" w:rsidRPr="00F11877" w:rsidRDefault="00F11877" w:rsidP="00F11877">
            <w:pPr>
              <w:rPr>
                <w:rFonts w:ascii="Arial" w:hAnsi="Arial" w:cs="Arial"/>
                <w:sz w:val="24"/>
                <w:szCs w:val="24"/>
              </w:rPr>
            </w:pPr>
            <w:r w:rsidRPr="00F11877">
              <w:rPr>
                <w:rFonts w:ascii="Arial" w:hAnsi="Arial" w:cs="Arial"/>
                <w:sz w:val="24"/>
                <w:szCs w:val="24"/>
              </w:rPr>
              <w:lastRenderedPageBreak/>
              <w:t>2024 – Using the underspend focus on comms (social media) and workforce training skills to optimise reach.</w:t>
            </w:r>
          </w:p>
          <w:p w14:paraId="2D95DFD2" w14:textId="77777777" w:rsidR="00F11877" w:rsidRPr="00F11877" w:rsidRDefault="00F11877" w:rsidP="00F11877">
            <w:pPr>
              <w:rPr>
                <w:rFonts w:ascii="Arial" w:hAnsi="Arial" w:cs="Arial"/>
                <w:sz w:val="24"/>
                <w:szCs w:val="24"/>
              </w:rPr>
            </w:pPr>
          </w:p>
          <w:p w14:paraId="69B84C36" w14:textId="167B680E" w:rsidR="00F11877" w:rsidRPr="00F11877" w:rsidRDefault="00F11877" w:rsidP="00F11877">
            <w:pPr>
              <w:rPr>
                <w:rFonts w:ascii="Arial" w:hAnsi="Arial" w:cs="Arial"/>
                <w:sz w:val="24"/>
                <w:szCs w:val="24"/>
              </w:rPr>
            </w:pPr>
            <w:r w:rsidRPr="00F11877">
              <w:rPr>
                <w:rFonts w:ascii="Arial" w:hAnsi="Arial" w:cs="Arial"/>
                <w:sz w:val="24"/>
                <w:szCs w:val="24"/>
              </w:rPr>
              <w:lastRenderedPageBreak/>
              <w:t>Through communications support the activities of wider partners around Dying Matters week, for example, Neighbourhood Network lunch clubs and gain an understanding of these.</w:t>
            </w:r>
          </w:p>
          <w:p w14:paraId="5EAD9AA9" w14:textId="77777777" w:rsidR="00F11877" w:rsidRPr="00F11877" w:rsidRDefault="00F11877" w:rsidP="00F11877">
            <w:pPr>
              <w:spacing w:line="276" w:lineRule="auto"/>
              <w:rPr>
                <w:rFonts w:ascii="Arial" w:hAnsi="Arial" w:cs="Arial"/>
                <w:sz w:val="24"/>
                <w:szCs w:val="24"/>
              </w:rPr>
            </w:pPr>
          </w:p>
        </w:tc>
        <w:tc>
          <w:tcPr>
            <w:tcW w:w="3445" w:type="dxa"/>
            <w:vAlign w:val="center"/>
          </w:tcPr>
          <w:p w14:paraId="4513393C" w14:textId="77777777" w:rsidR="00F11877" w:rsidRPr="00F11877" w:rsidRDefault="00F11877" w:rsidP="00F11877">
            <w:pPr>
              <w:spacing w:line="276" w:lineRule="auto"/>
              <w:rPr>
                <w:rFonts w:ascii="Arial" w:hAnsi="Arial" w:cs="Arial"/>
                <w:sz w:val="24"/>
                <w:szCs w:val="24"/>
              </w:rPr>
            </w:pPr>
          </w:p>
        </w:tc>
        <w:tc>
          <w:tcPr>
            <w:tcW w:w="3119" w:type="dxa"/>
            <w:vAlign w:val="center"/>
          </w:tcPr>
          <w:p w14:paraId="0D878599" w14:textId="5E50940C"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March 2025</w:t>
            </w:r>
          </w:p>
        </w:tc>
        <w:tc>
          <w:tcPr>
            <w:tcW w:w="3120" w:type="dxa"/>
            <w:vAlign w:val="center"/>
          </w:tcPr>
          <w:p w14:paraId="231CE70C" w14:textId="544C87CB"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[Removed for publication]</w:t>
            </w:r>
          </w:p>
        </w:tc>
      </w:tr>
      <w:bookmarkEnd w:id="2"/>
    </w:tbl>
    <w:p w14:paraId="775EF671" w14:textId="77777777" w:rsidR="00D96139" w:rsidRDefault="00D96139" w:rsidP="00DA0092">
      <w:pPr>
        <w:spacing w:line="276" w:lineRule="auto"/>
      </w:pPr>
    </w:p>
    <w:p w14:paraId="4C5F778B" w14:textId="77777777" w:rsidR="003C34B2" w:rsidRDefault="003C34B2" w:rsidP="003C34B2">
      <w:pPr>
        <w:pStyle w:val="Heading2"/>
      </w:pPr>
      <w:r>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11877" w14:paraId="373340FF" w14:textId="77777777" w:rsidTr="00F11877">
        <w:tc>
          <w:tcPr>
            <w:tcW w:w="5104" w:type="dxa"/>
          </w:tcPr>
          <w:p w14:paraId="5DCBDE37" w14:textId="5B8DD5CE" w:rsidR="00F11877" w:rsidRDefault="00F11877" w:rsidP="00F11877">
            <w:pPr>
              <w:spacing w:line="276" w:lineRule="auto"/>
            </w:pPr>
            <w:r w:rsidRPr="00EB6CF5">
              <w:rPr>
                <w:rFonts w:ascii="Arial" w:hAnsi="Arial" w:cs="Arial"/>
                <w:sz w:val="24"/>
                <w:szCs w:val="24"/>
              </w:rPr>
              <w:t>a</w:t>
            </w:r>
            <w:r>
              <w:rPr>
                <w:rFonts w:ascii="Arial" w:hAnsi="Arial" w:cs="Arial"/>
                <w:sz w:val="24"/>
                <w:szCs w:val="24"/>
              </w:rPr>
              <w:t>.</w:t>
            </w:r>
            <w:r w:rsidRPr="00EB6CF5">
              <w:rPr>
                <w:rFonts w:ascii="Arial" w:hAnsi="Arial" w:cs="Arial"/>
                <w:sz w:val="24"/>
                <w:szCs w:val="24"/>
              </w:rPr>
              <w:t xml:space="preserve"> that actions to mitigate negative impacts have been taken</w:t>
            </w:r>
            <w:r>
              <w:rPr>
                <w:rFonts w:ascii="Arial" w:hAnsi="Arial" w:cs="Arial"/>
                <w:sz w:val="24"/>
                <w:szCs w:val="24"/>
              </w:rPr>
              <w:t>.</w:t>
            </w:r>
          </w:p>
        </w:tc>
        <w:tc>
          <w:tcPr>
            <w:tcW w:w="4110" w:type="dxa"/>
            <w:vAlign w:val="center"/>
          </w:tcPr>
          <w:p w14:paraId="7118C3E3" w14:textId="41A21E35"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a</w:t>
            </w:r>
            <w:r>
              <w:rPr>
                <w:rFonts w:ascii="Arial" w:hAnsi="Arial" w:cs="Arial"/>
                <w:sz w:val="24"/>
                <w:szCs w:val="24"/>
              </w:rPr>
              <w:t>.</w:t>
            </w:r>
            <w:r w:rsidRPr="00F11877">
              <w:rPr>
                <w:rFonts w:ascii="Arial" w:hAnsi="Arial" w:cs="Arial"/>
                <w:sz w:val="24"/>
                <w:szCs w:val="24"/>
              </w:rPr>
              <w:t xml:space="preserve"> End of Life population board</w:t>
            </w:r>
          </w:p>
        </w:tc>
        <w:tc>
          <w:tcPr>
            <w:tcW w:w="3261" w:type="dxa"/>
            <w:vAlign w:val="center"/>
          </w:tcPr>
          <w:p w14:paraId="5E1FC87C" w14:textId="0CAB8335"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Oversight</w:t>
            </w:r>
          </w:p>
        </w:tc>
        <w:tc>
          <w:tcPr>
            <w:tcW w:w="3357" w:type="dxa"/>
            <w:vAlign w:val="center"/>
          </w:tcPr>
          <w:p w14:paraId="045B21FB" w14:textId="2AD5337D"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Bi-monthly</w:t>
            </w:r>
          </w:p>
        </w:tc>
      </w:tr>
      <w:tr w:rsidR="00F11877" w14:paraId="0B41AB26" w14:textId="77777777" w:rsidTr="00F11877">
        <w:tc>
          <w:tcPr>
            <w:tcW w:w="5104" w:type="dxa"/>
          </w:tcPr>
          <w:p w14:paraId="445153EC" w14:textId="1670200A" w:rsidR="00F11877" w:rsidRDefault="00F11877" w:rsidP="00F11877">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 xml:space="preserve">State the frequency of monitoring (e.g. Recovery Group Monthly, </w:t>
            </w:r>
            <w:r w:rsidRPr="00D13C9D">
              <w:rPr>
                <w:rFonts w:ascii="Arial" w:hAnsi="Arial" w:cs="Arial"/>
                <w:sz w:val="24"/>
                <w:szCs w:val="24"/>
              </w:rPr>
              <w:lastRenderedPageBreak/>
              <w:t>QSC Quarterly, J. Bloggs, Project Manager Unplanned Care Monthly</w:t>
            </w:r>
          </w:p>
        </w:tc>
        <w:tc>
          <w:tcPr>
            <w:tcW w:w="4110" w:type="dxa"/>
            <w:vAlign w:val="center"/>
          </w:tcPr>
          <w:p w14:paraId="7F0D640A" w14:textId="20106FD6"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lastRenderedPageBreak/>
              <w:t>b</w:t>
            </w:r>
            <w:r>
              <w:rPr>
                <w:rFonts w:ascii="Arial" w:hAnsi="Arial" w:cs="Arial"/>
                <w:sz w:val="24"/>
                <w:szCs w:val="24"/>
              </w:rPr>
              <w:t>.</w:t>
            </w:r>
            <w:r w:rsidRPr="00F11877">
              <w:rPr>
                <w:rFonts w:ascii="Arial" w:hAnsi="Arial" w:cs="Arial"/>
                <w:sz w:val="24"/>
                <w:szCs w:val="24"/>
              </w:rPr>
              <w:t xml:space="preserve"> End of Life population board</w:t>
            </w:r>
          </w:p>
        </w:tc>
        <w:tc>
          <w:tcPr>
            <w:tcW w:w="3261" w:type="dxa"/>
            <w:vAlign w:val="center"/>
          </w:tcPr>
          <w:p w14:paraId="3FC3D5A2" w14:textId="575807F2"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Oversight</w:t>
            </w:r>
          </w:p>
        </w:tc>
        <w:tc>
          <w:tcPr>
            <w:tcW w:w="3357" w:type="dxa"/>
            <w:vAlign w:val="center"/>
          </w:tcPr>
          <w:p w14:paraId="56E78762" w14:textId="6735C4C6"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Bi-monthly</w:t>
            </w: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F11877" w:rsidRPr="00EB6CF5" w14:paraId="3B6AA7D2" w14:textId="77777777" w:rsidTr="00F11877">
        <w:trPr>
          <w:trHeight w:val="600"/>
        </w:trPr>
        <w:tc>
          <w:tcPr>
            <w:tcW w:w="5104" w:type="dxa"/>
            <w:vAlign w:val="center"/>
            <w:hideMark/>
          </w:tcPr>
          <w:p w14:paraId="39A151BF" w14:textId="77777777" w:rsidR="00F11877" w:rsidRPr="005303F6" w:rsidRDefault="00F11877" w:rsidP="00F11877">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B9CD01F" w:rsidR="00F11877" w:rsidRPr="005303F6" w:rsidRDefault="00F11877" w:rsidP="00F11877">
            <w:pPr>
              <w:spacing w:line="276" w:lineRule="auto"/>
              <w:rPr>
                <w:rFonts w:ascii="Arial" w:hAnsi="Arial" w:cs="Arial"/>
                <w:sz w:val="24"/>
                <w:szCs w:val="24"/>
              </w:rPr>
            </w:pPr>
            <w:r w:rsidRPr="00EB6CF5">
              <w:rPr>
                <w:rFonts w:ascii="Arial" w:hAnsi="Arial" w:cs="Arial"/>
                <w:sz w:val="24"/>
                <w:szCs w:val="24"/>
              </w:rPr>
              <w:t> </w:t>
            </w:r>
            <w:r>
              <w:rPr>
                <w:rFonts w:ascii="Arial" w:hAnsi="Arial" w:cs="Arial"/>
                <w:sz w:val="24"/>
                <w:szCs w:val="24"/>
              </w:rPr>
              <w:t>End of Life population board</w:t>
            </w:r>
          </w:p>
        </w:tc>
        <w:tc>
          <w:tcPr>
            <w:tcW w:w="3261" w:type="dxa"/>
            <w:vAlign w:val="center"/>
            <w:hideMark/>
          </w:tcPr>
          <w:p w14:paraId="64DD7B6B" w14:textId="140DD876" w:rsidR="00F11877" w:rsidRPr="005303F6" w:rsidRDefault="00F11877" w:rsidP="00F11877">
            <w:pPr>
              <w:spacing w:line="276" w:lineRule="auto"/>
              <w:rPr>
                <w:rFonts w:ascii="Arial" w:hAnsi="Arial" w:cs="Arial"/>
                <w:sz w:val="24"/>
                <w:szCs w:val="24"/>
              </w:rPr>
            </w:pPr>
            <w:r w:rsidRPr="00EB6CF5">
              <w:rPr>
                <w:rFonts w:ascii="Arial" w:hAnsi="Arial" w:cs="Arial"/>
                <w:sz w:val="24"/>
                <w:szCs w:val="24"/>
              </w:rPr>
              <w:t> </w:t>
            </w:r>
            <w:r>
              <w:rPr>
                <w:rFonts w:ascii="Arial" w:hAnsi="Arial" w:cs="Arial"/>
                <w:sz w:val="24"/>
                <w:szCs w:val="24"/>
              </w:rPr>
              <w:t>Oversight</w:t>
            </w:r>
          </w:p>
        </w:tc>
        <w:tc>
          <w:tcPr>
            <w:tcW w:w="3402" w:type="dxa"/>
            <w:vAlign w:val="center"/>
            <w:hideMark/>
          </w:tcPr>
          <w:p w14:paraId="1FD4A27F" w14:textId="1AD4B679" w:rsidR="00F11877" w:rsidRPr="005303F6" w:rsidRDefault="00F11877" w:rsidP="00F11877">
            <w:pPr>
              <w:spacing w:line="276" w:lineRule="auto"/>
              <w:rPr>
                <w:rFonts w:ascii="Arial" w:hAnsi="Arial" w:cs="Arial"/>
                <w:sz w:val="24"/>
                <w:szCs w:val="24"/>
              </w:rPr>
            </w:pPr>
            <w:r w:rsidRPr="0E58646F">
              <w:rPr>
                <w:rFonts w:ascii="Arial" w:hAnsi="Arial" w:cs="Arial"/>
                <w:sz w:val="24"/>
                <w:szCs w:val="24"/>
              </w:rPr>
              <w:t xml:space="preserve">Ongoing review in </w:t>
            </w:r>
            <w:r>
              <w:rPr>
                <w:rFonts w:ascii="Arial" w:hAnsi="Arial" w:cs="Arial"/>
                <w:sz w:val="24"/>
                <w:szCs w:val="24"/>
              </w:rPr>
              <w:t>20</w:t>
            </w:r>
            <w:r w:rsidRPr="0E58646F">
              <w:rPr>
                <w:rFonts w:ascii="Arial" w:hAnsi="Arial" w:cs="Arial"/>
                <w:sz w:val="24"/>
                <w:szCs w:val="24"/>
              </w:rPr>
              <w:t>24</w:t>
            </w:r>
            <w:r>
              <w:rPr>
                <w:rFonts w:ascii="Arial" w:hAnsi="Arial" w:cs="Arial"/>
                <w:sz w:val="24"/>
                <w:szCs w:val="24"/>
              </w:rPr>
              <w:t xml:space="preserve"> </w:t>
            </w:r>
            <w:r w:rsidRPr="0E58646F">
              <w:rPr>
                <w:rFonts w:ascii="Arial" w:hAnsi="Arial" w:cs="Arial"/>
                <w:sz w:val="24"/>
                <w:szCs w:val="24"/>
              </w:rPr>
              <w:t>/</w:t>
            </w:r>
            <w:r>
              <w:rPr>
                <w:rFonts w:ascii="Arial" w:hAnsi="Arial" w:cs="Arial"/>
                <w:sz w:val="24"/>
                <w:szCs w:val="24"/>
              </w:rPr>
              <w:t xml:space="preserve"> 20</w:t>
            </w:r>
            <w:r w:rsidRPr="0E58646F">
              <w:rPr>
                <w:rFonts w:ascii="Arial" w:hAnsi="Arial" w:cs="Arial"/>
                <w:sz w:val="24"/>
                <w:szCs w:val="24"/>
              </w:rPr>
              <w:t xml:space="preserve">25 and </w:t>
            </w:r>
            <w:r>
              <w:rPr>
                <w:rFonts w:ascii="Arial" w:hAnsi="Arial" w:cs="Arial"/>
                <w:sz w:val="24"/>
                <w:szCs w:val="24"/>
              </w:rPr>
              <w:t>20</w:t>
            </w:r>
            <w:r w:rsidRPr="0E58646F">
              <w:rPr>
                <w:rFonts w:ascii="Arial" w:hAnsi="Arial" w:cs="Arial"/>
                <w:sz w:val="24"/>
                <w:szCs w:val="24"/>
              </w:rPr>
              <w:t>25</w:t>
            </w:r>
            <w:r>
              <w:rPr>
                <w:rFonts w:ascii="Arial" w:hAnsi="Arial" w:cs="Arial"/>
                <w:sz w:val="24"/>
                <w:szCs w:val="24"/>
              </w:rPr>
              <w:t xml:space="preserve"> </w:t>
            </w:r>
            <w:r w:rsidRPr="0E58646F">
              <w:rPr>
                <w:rFonts w:ascii="Arial" w:hAnsi="Arial" w:cs="Arial"/>
                <w:sz w:val="24"/>
                <w:szCs w:val="24"/>
              </w:rPr>
              <w:t>/</w:t>
            </w:r>
            <w:r>
              <w:rPr>
                <w:rFonts w:ascii="Arial" w:hAnsi="Arial" w:cs="Arial"/>
                <w:sz w:val="24"/>
                <w:szCs w:val="24"/>
              </w:rPr>
              <w:t xml:space="preserve"> 20</w:t>
            </w:r>
            <w:r w:rsidRPr="0E58646F">
              <w:rPr>
                <w:rFonts w:ascii="Arial" w:hAnsi="Arial" w:cs="Arial"/>
                <w:sz w:val="24"/>
                <w:szCs w:val="24"/>
              </w:rPr>
              <w:t>26</w:t>
            </w:r>
          </w:p>
        </w:tc>
      </w:tr>
    </w:tbl>
    <w:p w14:paraId="1E9DA133" w14:textId="77777777" w:rsidR="00C63442" w:rsidRDefault="00C63442"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BC232E">
        <w:trPr>
          <w:trHeight w:val="2369"/>
        </w:trPr>
        <w:tc>
          <w:tcPr>
            <w:tcW w:w="15877" w:type="dxa"/>
          </w:tcPr>
          <w:p w14:paraId="3053B6ED" w14:textId="6D4BC4A9" w:rsidR="00F11877" w:rsidRPr="00F11877" w:rsidRDefault="00F11877" w:rsidP="00F11877">
            <w:pPr>
              <w:spacing w:line="276" w:lineRule="auto"/>
              <w:rPr>
                <w:rFonts w:ascii="Arial" w:hAnsi="Arial" w:cs="Arial"/>
                <w:sz w:val="24"/>
                <w:szCs w:val="24"/>
              </w:rPr>
            </w:pPr>
            <w:r>
              <w:rPr>
                <w:rFonts w:ascii="Arial" w:hAnsi="Arial" w:cs="Arial"/>
                <w:sz w:val="24"/>
                <w:szCs w:val="24"/>
              </w:rPr>
              <w:t>The proposal</w:t>
            </w:r>
            <w:r w:rsidRPr="00F11877">
              <w:rPr>
                <w:rFonts w:ascii="Arial" w:hAnsi="Arial" w:cs="Arial"/>
                <w:sz w:val="24"/>
                <w:szCs w:val="24"/>
              </w:rPr>
              <w:t xml:space="preserve"> is to remove the recurrent £5000 per year that funds Dying Matters. Hospice UK’s Dying Matters campaign is in place to create an open culture in which people are comfortable talking about death, dying and grief.</w:t>
            </w:r>
          </w:p>
          <w:p w14:paraId="169D69A8" w14:textId="77777777" w:rsidR="00F11877" w:rsidRPr="00F11877" w:rsidRDefault="00F11877" w:rsidP="00F11877">
            <w:pPr>
              <w:spacing w:line="276" w:lineRule="auto"/>
              <w:rPr>
                <w:rFonts w:ascii="Arial" w:hAnsi="Arial" w:cs="Arial"/>
                <w:sz w:val="24"/>
                <w:szCs w:val="24"/>
              </w:rPr>
            </w:pPr>
          </w:p>
          <w:p w14:paraId="2FEB176B" w14:textId="418F0DC9" w:rsidR="00F11877" w:rsidRPr="00F11877" w:rsidRDefault="00F11877" w:rsidP="00F11877">
            <w:pPr>
              <w:spacing w:line="276" w:lineRule="auto"/>
              <w:rPr>
                <w:rFonts w:ascii="Arial" w:hAnsi="Arial" w:cs="Arial"/>
                <w:sz w:val="24"/>
                <w:szCs w:val="24"/>
              </w:rPr>
            </w:pPr>
            <w:r w:rsidRPr="00F11877">
              <w:rPr>
                <w:rFonts w:ascii="Arial" w:hAnsi="Arial" w:cs="Arial"/>
                <w:sz w:val="24"/>
                <w:szCs w:val="24"/>
              </w:rPr>
              <w:t xml:space="preserve">This funding provides community grants in support of the Dying Matters programme and Dying Matters week which is held in May each year. The grants have funded a wide variety of projects over recent years. In addition, where </w:t>
            </w:r>
            <w:r>
              <w:rPr>
                <w:rFonts w:ascii="Arial" w:hAnsi="Arial" w:cs="Arial"/>
                <w:sz w:val="24"/>
                <w:szCs w:val="24"/>
              </w:rPr>
              <w:t xml:space="preserve">the </w:t>
            </w:r>
            <w:r w:rsidRPr="00F11877">
              <w:rPr>
                <w:rFonts w:ascii="Arial" w:hAnsi="Arial" w:cs="Arial"/>
                <w:sz w:val="24"/>
                <w:szCs w:val="24"/>
              </w:rPr>
              <w:t xml:space="preserve">budget has allowed, an annual larger community event and workforce training to develop skills in having conversations about death and bereavement (delivered by Leeds Bereavement Forum) have been planned. Due to </w:t>
            </w:r>
            <w:r>
              <w:rPr>
                <w:rFonts w:ascii="Arial" w:hAnsi="Arial" w:cs="Arial"/>
                <w:sz w:val="24"/>
                <w:szCs w:val="24"/>
              </w:rPr>
              <w:t xml:space="preserve">a </w:t>
            </w:r>
            <w:r w:rsidRPr="00F11877">
              <w:rPr>
                <w:rFonts w:ascii="Arial" w:hAnsi="Arial" w:cs="Arial"/>
                <w:sz w:val="24"/>
                <w:szCs w:val="24"/>
              </w:rPr>
              <w:t>lack of financial sustainability</w:t>
            </w:r>
            <w:r>
              <w:rPr>
                <w:rFonts w:ascii="Arial" w:hAnsi="Arial" w:cs="Arial"/>
                <w:sz w:val="24"/>
                <w:szCs w:val="24"/>
              </w:rPr>
              <w:t>,</w:t>
            </w:r>
            <w:r w:rsidRPr="00F11877">
              <w:rPr>
                <w:rFonts w:ascii="Arial" w:hAnsi="Arial" w:cs="Arial"/>
                <w:sz w:val="24"/>
                <w:szCs w:val="24"/>
              </w:rPr>
              <w:t xml:space="preserve"> Leeds Bereavement Forum will close at the end of March 2024 and therefore the current mechanism for much of the delivery is lost.</w:t>
            </w:r>
          </w:p>
          <w:p w14:paraId="68EE1EFD" w14:textId="77777777" w:rsidR="00F11877" w:rsidRPr="00F11877" w:rsidRDefault="00F11877" w:rsidP="00F11877">
            <w:pPr>
              <w:spacing w:line="276" w:lineRule="auto"/>
              <w:rPr>
                <w:rFonts w:ascii="Arial" w:hAnsi="Arial" w:cs="Arial"/>
                <w:sz w:val="24"/>
                <w:szCs w:val="24"/>
              </w:rPr>
            </w:pPr>
          </w:p>
          <w:p w14:paraId="503E299B" w14:textId="139A04D8" w:rsidR="00C63442" w:rsidRPr="00F11877" w:rsidRDefault="00F11877" w:rsidP="00F11877">
            <w:pPr>
              <w:spacing w:line="276" w:lineRule="auto"/>
              <w:rPr>
                <w:rFonts w:ascii="Arial" w:hAnsi="Arial" w:cs="Arial"/>
                <w:sz w:val="24"/>
                <w:szCs w:val="24"/>
              </w:rPr>
            </w:pPr>
            <w:r w:rsidRPr="00F11877">
              <w:rPr>
                <w:rFonts w:ascii="Arial" w:hAnsi="Arial" w:cs="Arial"/>
                <w:b/>
                <w:bCs/>
                <w:sz w:val="24"/>
                <w:szCs w:val="24"/>
              </w:rPr>
              <w:t>Update April 2024</w:t>
            </w:r>
            <w:r w:rsidRPr="00F11877">
              <w:rPr>
                <w:rFonts w:ascii="Arial" w:hAnsi="Arial" w:cs="Arial"/>
                <w:sz w:val="24"/>
                <w:szCs w:val="24"/>
              </w:rPr>
              <w:t xml:space="preserve">: Contract notice has been served to Leeds City Council following discussions, as this contract is not clinical service delivery. LCC has financial </w:t>
            </w:r>
            <w:r>
              <w:rPr>
                <w:rFonts w:ascii="Arial" w:hAnsi="Arial" w:cs="Arial"/>
                <w:sz w:val="24"/>
                <w:szCs w:val="24"/>
              </w:rPr>
              <w:t>resources</w:t>
            </w:r>
            <w:r w:rsidRPr="00F11877">
              <w:rPr>
                <w:rFonts w:ascii="Arial" w:hAnsi="Arial" w:cs="Arial"/>
                <w:sz w:val="24"/>
                <w:szCs w:val="24"/>
              </w:rPr>
              <w:t xml:space="preserve"> (underspend) to support planned activities for </w:t>
            </w:r>
            <w:r>
              <w:rPr>
                <w:rFonts w:ascii="Arial" w:hAnsi="Arial" w:cs="Arial"/>
                <w:sz w:val="24"/>
                <w:szCs w:val="24"/>
              </w:rPr>
              <w:t>20</w:t>
            </w:r>
            <w:r w:rsidRPr="00F11877">
              <w:rPr>
                <w:rFonts w:ascii="Arial" w:hAnsi="Arial" w:cs="Arial"/>
                <w:sz w:val="24"/>
                <w:szCs w:val="24"/>
              </w:rPr>
              <w:t>24</w:t>
            </w:r>
            <w:r>
              <w:rPr>
                <w:rFonts w:ascii="Arial" w:hAnsi="Arial" w:cs="Arial"/>
                <w:sz w:val="24"/>
                <w:szCs w:val="24"/>
              </w:rPr>
              <w:t xml:space="preserve"> </w:t>
            </w:r>
            <w:r w:rsidRPr="00F11877">
              <w:rPr>
                <w:rFonts w:ascii="Arial" w:hAnsi="Arial" w:cs="Arial"/>
                <w:sz w:val="24"/>
                <w:szCs w:val="24"/>
              </w:rPr>
              <w:t>/</w:t>
            </w:r>
            <w:r>
              <w:rPr>
                <w:rFonts w:ascii="Arial" w:hAnsi="Arial" w:cs="Arial"/>
                <w:sz w:val="24"/>
                <w:szCs w:val="24"/>
              </w:rPr>
              <w:t xml:space="preserve"> 20</w:t>
            </w:r>
            <w:r w:rsidRPr="00F11877">
              <w:rPr>
                <w:rFonts w:ascii="Arial" w:hAnsi="Arial" w:cs="Arial"/>
                <w:sz w:val="24"/>
                <w:szCs w:val="24"/>
              </w:rPr>
              <w:t xml:space="preserve">25. Communications to be managed via </w:t>
            </w:r>
            <w:r>
              <w:rPr>
                <w:rFonts w:ascii="Arial" w:hAnsi="Arial" w:cs="Arial"/>
                <w:sz w:val="24"/>
                <w:szCs w:val="24"/>
              </w:rPr>
              <w:t xml:space="preserve">the </w:t>
            </w:r>
            <w:proofErr w:type="spellStart"/>
            <w:r w:rsidRPr="00F11877">
              <w:rPr>
                <w:rFonts w:ascii="Arial" w:hAnsi="Arial" w:cs="Arial"/>
                <w:sz w:val="24"/>
                <w:szCs w:val="24"/>
              </w:rPr>
              <w:t>EoL</w:t>
            </w:r>
            <w:proofErr w:type="spellEnd"/>
            <w:r w:rsidRPr="00F11877">
              <w:rPr>
                <w:rFonts w:ascii="Arial" w:hAnsi="Arial" w:cs="Arial"/>
                <w:sz w:val="24"/>
                <w:szCs w:val="24"/>
              </w:rPr>
              <w:t xml:space="preserve"> Board and discussions will progress via the </w:t>
            </w:r>
            <w:proofErr w:type="spellStart"/>
            <w:r w:rsidRPr="00F11877">
              <w:rPr>
                <w:rFonts w:ascii="Arial" w:hAnsi="Arial" w:cs="Arial"/>
                <w:sz w:val="24"/>
                <w:szCs w:val="24"/>
              </w:rPr>
              <w:t>EoL</w:t>
            </w:r>
            <w:proofErr w:type="spellEnd"/>
            <w:r w:rsidRPr="00F11877">
              <w:rPr>
                <w:rFonts w:ascii="Arial" w:hAnsi="Arial" w:cs="Arial"/>
                <w:sz w:val="24"/>
                <w:szCs w:val="24"/>
              </w:rPr>
              <w:t xml:space="preserve"> Board in </w:t>
            </w:r>
            <w:r>
              <w:rPr>
                <w:rFonts w:ascii="Arial" w:hAnsi="Arial" w:cs="Arial"/>
                <w:sz w:val="24"/>
                <w:szCs w:val="24"/>
              </w:rPr>
              <w:t>20</w:t>
            </w:r>
            <w:r w:rsidRPr="00F11877">
              <w:rPr>
                <w:rFonts w:ascii="Arial" w:hAnsi="Arial" w:cs="Arial"/>
                <w:sz w:val="24"/>
                <w:szCs w:val="24"/>
              </w:rPr>
              <w:t>24</w:t>
            </w:r>
            <w:r>
              <w:rPr>
                <w:rFonts w:ascii="Arial" w:hAnsi="Arial" w:cs="Arial"/>
                <w:sz w:val="24"/>
                <w:szCs w:val="24"/>
              </w:rPr>
              <w:t xml:space="preserve"> </w:t>
            </w:r>
            <w:r w:rsidRPr="00F11877">
              <w:rPr>
                <w:rFonts w:ascii="Arial" w:hAnsi="Arial" w:cs="Arial"/>
                <w:sz w:val="24"/>
                <w:szCs w:val="24"/>
              </w:rPr>
              <w:t>/</w:t>
            </w:r>
            <w:r>
              <w:rPr>
                <w:rFonts w:ascii="Arial" w:hAnsi="Arial" w:cs="Arial"/>
                <w:sz w:val="24"/>
                <w:szCs w:val="24"/>
              </w:rPr>
              <w:t xml:space="preserve"> 20</w:t>
            </w:r>
            <w:r w:rsidRPr="00F11877">
              <w:rPr>
                <w:rFonts w:ascii="Arial" w:hAnsi="Arial" w:cs="Arial"/>
                <w:sz w:val="24"/>
                <w:szCs w:val="24"/>
              </w:rPr>
              <w:t>25, on how activities relating to Dying Matters might be managed differently in future years in line with the action plan.</w:t>
            </w:r>
          </w:p>
        </w:tc>
      </w:tr>
    </w:tbl>
    <w:p w14:paraId="4A64098F" w14:textId="7ACF9A1F" w:rsidR="00785EB0" w:rsidRDefault="00785EB0" w:rsidP="00DA0092">
      <w:pPr>
        <w:spacing w:line="276" w:lineRule="auto"/>
      </w:pPr>
    </w:p>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77777777"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Name:</w:t>
            </w:r>
          </w:p>
          <w:p w14:paraId="6FFE7E16" w14:textId="4FF393BA"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Date:</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77777777"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Name:</w:t>
            </w:r>
          </w:p>
          <w:p w14:paraId="131AFC34" w14:textId="1F4F72B2" w:rsidR="005303F6" w:rsidRPr="005303F6" w:rsidRDefault="005303F6" w:rsidP="005303F6">
            <w:pPr>
              <w:spacing w:line="276" w:lineRule="auto"/>
              <w:rPr>
                <w:rFonts w:ascii="Arial" w:hAnsi="Arial" w:cs="Arial"/>
                <w:sz w:val="24"/>
                <w:szCs w:val="24"/>
              </w:rPr>
            </w:pPr>
            <w:r w:rsidRPr="005303F6">
              <w:rPr>
                <w:rFonts w:ascii="Arial" w:hAnsi="Arial" w:cs="Arial"/>
                <w:sz w:val="24"/>
                <w:szCs w:val="24"/>
              </w:rPr>
              <w:t>Date:</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393BA24E" w:rsidR="00BC232E" w:rsidRPr="005303F6" w:rsidRDefault="00F11877" w:rsidP="005303F6">
            <w:pPr>
              <w:spacing w:line="276" w:lineRule="auto"/>
              <w:rPr>
                <w:rFonts w:ascii="Arial" w:hAnsi="Arial" w:cs="Arial"/>
                <w:sz w:val="24"/>
                <w:szCs w:val="24"/>
              </w:rPr>
            </w:pPr>
            <w:r w:rsidRPr="00F11877">
              <w:rPr>
                <w:rFonts w:ascii="Arial" w:hAnsi="Arial" w:cs="Arial"/>
                <w:sz w:val="24"/>
                <w:szCs w:val="24"/>
              </w:rPr>
              <w:t>Reviewed at Panel Assurance meeting: 16</w:t>
            </w:r>
            <w:r>
              <w:rPr>
                <w:rFonts w:ascii="Arial" w:hAnsi="Arial" w:cs="Arial"/>
                <w:sz w:val="24"/>
                <w:szCs w:val="24"/>
              </w:rPr>
              <w:t>.</w:t>
            </w:r>
            <w:r w:rsidRPr="00F11877">
              <w:rPr>
                <w:rFonts w:ascii="Arial" w:hAnsi="Arial" w:cs="Arial"/>
                <w:sz w:val="24"/>
                <w:szCs w:val="24"/>
              </w:rPr>
              <w:t>05</w:t>
            </w:r>
            <w:r>
              <w:rPr>
                <w:rFonts w:ascii="Arial" w:hAnsi="Arial" w:cs="Arial"/>
                <w:sz w:val="24"/>
                <w:szCs w:val="24"/>
              </w:rPr>
              <w:t>.</w:t>
            </w:r>
            <w:r w:rsidRPr="00F11877">
              <w:rPr>
                <w:rFonts w:ascii="Arial" w:hAnsi="Arial" w:cs="Arial"/>
                <w:sz w:val="24"/>
                <w:szCs w:val="24"/>
              </w:rPr>
              <w:t>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74B8FBAC" w:rsidR="00BC232E" w:rsidRPr="005303F6" w:rsidRDefault="00F11877" w:rsidP="005303F6">
            <w:pPr>
              <w:spacing w:line="276" w:lineRule="auto"/>
              <w:rPr>
                <w:rFonts w:ascii="Arial" w:hAnsi="Arial" w:cs="Arial"/>
                <w:color w:val="ED7D31" w:themeColor="accent2"/>
                <w:sz w:val="24"/>
                <w:szCs w:val="24"/>
              </w:rPr>
            </w:pPr>
            <w:r w:rsidRPr="00F11877">
              <w:rPr>
                <w:rFonts w:ascii="Arial" w:hAnsi="Arial" w:cs="Arial"/>
                <w:sz w:val="24"/>
                <w:szCs w:val="24"/>
              </w:rPr>
              <w:t>January / February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5303F6" w:rsidRDefault="00BC232E" w:rsidP="005303F6">
            <w:pPr>
              <w:spacing w:line="276" w:lineRule="auto"/>
              <w:rPr>
                <w:rFonts w:ascii="Arial" w:hAnsi="Arial" w:cs="Arial"/>
                <w:sz w:val="24"/>
                <w:szCs w:val="24"/>
              </w:rPr>
            </w:pPr>
          </w:p>
          <w:p w14:paraId="313EC880" w14:textId="77777777" w:rsidR="00BC232E" w:rsidRPr="005303F6" w:rsidRDefault="00BC232E" w:rsidP="005303F6">
            <w:pPr>
              <w:spacing w:line="276" w:lineRule="auto"/>
              <w:rPr>
                <w:rFonts w:ascii="Arial" w:hAnsi="Arial" w:cs="Arial"/>
                <w:sz w:val="24"/>
                <w:szCs w:val="24"/>
              </w:rPr>
            </w:pPr>
          </w:p>
          <w:p w14:paraId="509EB489" w14:textId="77777777" w:rsidR="00BC232E" w:rsidRPr="005303F6"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7D0FFDA6" w14:textId="77777777" w:rsidR="00230DF0" w:rsidRDefault="00230DF0" w:rsidP="00DA0092">
      <w:pPr>
        <w:spacing w:line="276" w:lineRule="auto"/>
      </w:pPr>
    </w:p>
    <w:p w14:paraId="3507C519" w14:textId="77777777" w:rsidR="005B383F" w:rsidRDefault="005B383F" w:rsidP="00DA0092">
      <w:pPr>
        <w:spacing w:line="276" w:lineRule="auto"/>
      </w:pPr>
    </w:p>
    <w:p w14:paraId="56DB902E" w14:textId="77777777" w:rsidR="00230DF0" w:rsidRDefault="00230DF0" w:rsidP="00DA0092">
      <w:pPr>
        <w:spacing w:line="276" w:lineRule="auto"/>
      </w:pPr>
    </w:p>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5"/>
          <w:footerReference w:type="default" r:id="rId16"/>
          <w:headerReference w:type="first" r:id="rId17"/>
          <w:footerReference w:type="first" r:id="rId18"/>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9"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0"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5"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8"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9"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98766A"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60B22"/>
    <w:multiLevelType w:val="hybridMultilevel"/>
    <w:tmpl w:val="A76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6"/>
  </w:num>
  <w:num w:numId="2" w16cid:durableId="1625573836">
    <w:abstractNumId w:val="7"/>
  </w:num>
  <w:num w:numId="3" w16cid:durableId="1875771548">
    <w:abstractNumId w:val="16"/>
  </w:num>
  <w:num w:numId="4" w16cid:durableId="1040322517">
    <w:abstractNumId w:val="14"/>
  </w:num>
  <w:num w:numId="5" w16cid:durableId="1345399213">
    <w:abstractNumId w:val="5"/>
  </w:num>
  <w:num w:numId="6" w16cid:durableId="124853265">
    <w:abstractNumId w:val="3"/>
  </w:num>
  <w:num w:numId="7" w16cid:durableId="1418673703">
    <w:abstractNumId w:val="8"/>
  </w:num>
  <w:num w:numId="8" w16cid:durableId="715859189">
    <w:abstractNumId w:val="2"/>
  </w:num>
  <w:num w:numId="9" w16cid:durableId="1696348880">
    <w:abstractNumId w:val="19"/>
  </w:num>
  <w:num w:numId="10" w16cid:durableId="1198548629">
    <w:abstractNumId w:val="18"/>
  </w:num>
  <w:num w:numId="11" w16cid:durableId="520775437">
    <w:abstractNumId w:val="10"/>
  </w:num>
  <w:num w:numId="12" w16cid:durableId="13465515">
    <w:abstractNumId w:val="12"/>
  </w:num>
  <w:num w:numId="13" w16cid:durableId="1057893671">
    <w:abstractNumId w:val="11"/>
  </w:num>
  <w:num w:numId="14" w16cid:durableId="224412725">
    <w:abstractNumId w:val="15"/>
  </w:num>
  <w:num w:numId="15" w16cid:durableId="1732847761">
    <w:abstractNumId w:val="20"/>
  </w:num>
  <w:num w:numId="16" w16cid:durableId="2127429709">
    <w:abstractNumId w:val="4"/>
  </w:num>
  <w:num w:numId="17" w16cid:durableId="1016537440">
    <w:abstractNumId w:val="9"/>
  </w:num>
  <w:num w:numId="18" w16cid:durableId="1331518893">
    <w:abstractNumId w:val="0"/>
  </w:num>
  <w:num w:numId="19" w16cid:durableId="824130744">
    <w:abstractNumId w:val="13"/>
  </w:num>
  <w:num w:numId="20" w16cid:durableId="1395280811">
    <w:abstractNumId w:val="1"/>
  </w:num>
  <w:num w:numId="21" w16cid:durableId="507914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41AE"/>
    <w:rsid w:val="000C71EB"/>
    <w:rsid w:val="000D6AFC"/>
    <w:rsid w:val="0012112C"/>
    <w:rsid w:val="0013285F"/>
    <w:rsid w:val="0016721F"/>
    <w:rsid w:val="001C5E09"/>
    <w:rsid w:val="001D1D96"/>
    <w:rsid w:val="001F288A"/>
    <w:rsid w:val="002001EF"/>
    <w:rsid w:val="00223E76"/>
    <w:rsid w:val="00230DF0"/>
    <w:rsid w:val="00231456"/>
    <w:rsid w:val="00251916"/>
    <w:rsid w:val="00271252"/>
    <w:rsid w:val="002C2135"/>
    <w:rsid w:val="003422B5"/>
    <w:rsid w:val="00350577"/>
    <w:rsid w:val="0035409F"/>
    <w:rsid w:val="00356F5D"/>
    <w:rsid w:val="00361C1B"/>
    <w:rsid w:val="003626A6"/>
    <w:rsid w:val="00382BB2"/>
    <w:rsid w:val="00394604"/>
    <w:rsid w:val="003A118F"/>
    <w:rsid w:val="003B4ACC"/>
    <w:rsid w:val="003C34B2"/>
    <w:rsid w:val="00404C7A"/>
    <w:rsid w:val="004136E0"/>
    <w:rsid w:val="00415CC9"/>
    <w:rsid w:val="004176E0"/>
    <w:rsid w:val="00421175"/>
    <w:rsid w:val="00426EC4"/>
    <w:rsid w:val="0048360A"/>
    <w:rsid w:val="004874E7"/>
    <w:rsid w:val="004B255F"/>
    <w:rsid w:val="004C3EB7"/>
    <w:rsid w:val="004D3A35"/>
    <w:rsid w:val="004F2DB7"/>
    <w:rsid w:val="0051431C"/>
    <w:rsid w:val="005303F6"/>
    <w:rsid w:val="00555740"/>
    <w:rsid w:val="00562B8A"/>
    <w:rsid w:val="005655E7"/>
    <w:rsid w:val="0057002B"/>
    <w:rsid w:val="005979A0"/>
    <w:rsid w:val="005B3543"/>
    <w:rsid w:val="005B383F"/>
    <w:rsid w:val="005E3667"/>
    <w:rsid w:val="00614727"/>
    <w:rsid w:val="00635B7B"/>
    <w:rsid w:val="00673D5E"/>
    <w:rsid w:val="00695B22"/>
    <w:rsid w:val="006A5D57"/>
    <w:rsid w:val="006B358A"/>
    <w:rsid w:val="006B6267"/>
    <w:rsid w:val="006D19F5"/>
    <w:rsid w:val="006E6638"/>
    <w:rsid w:val="00715448"/>
    <w:rsid w:val="007579F2"/>
    <w:rsid w:val="00766C3C"/>
    <w:rsid w:val="0077136B"/>
    <w:rsid w:val="0077313E"/>
    <w:rsid w:val="00785EB0"/>
    <w:rsid w:val="0080416A"/>
    <w:rsid w:val="008124AA"/>
    <w:rsid w:val="00827144"/>
    <w:rsid w:val="00827830"/>
    <w:rsid w:val="008838F0"/>
    <w:rsid w:val="00892304"/>
    <w:rsid w:val="0089626E"/>
    <w:rsid w:val="008A4F33"/>
    <w:rsid w:val="008B69D6"/>
    <w:rsid w:val="0090588F"/>
    <w:rsid w:val="00922DB3"/>
    <w:rsid w:val="00965E5F"/>
    <w:rsid w:val="00986DDF"/>
    <w:rsid w:val="0098766A"/>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654D"/>
    <w:rsid w:val="00AD32BD"/>
    <w:rsid w:val="00AD6D60"/>
    <w:rsid w:val="00B31D08"/>
    <w:rsid w:val="00B74662"/>
    <w:rsid w:val="00B87CC6"/>
    <w:rsid w:val="00BC232E"/>
    <w:rsid w:val="00BC23CF"/>
    <w:rsid w:val="00BC3170"/>
    <w:rsid w:val="00BD1A3E"/>
    <w:rsid w:val="00BD57F9"/>
    <w:rsid w:val="00BF04DE"/>
    <w:rsid w:val="00BF2A60"/>
    <w:rsid w:val="00BF4E96"/>
    <w:rsid w:val="00C23836"/>
    <w:rsid w:val="00C25E43"/>
    <w:rsid w:val="00C27BA7"/>
    <w:rsid w:val="00C53A1F"/>
    <w:rsid w:val="00C63442"/>
    <w:rsid w:val="00CB45F9"/>
    <w:rsid w:val="00CC2D1B"/>
    <w:rsid w:val="00CF7DEE"/>
    <w:rsid w:val="00D046E9"/>
    <w:rsid w:val="00D0602B"/>
    <w:rsid w:val="00D06B26"/>
    <w:rsid w:val="00D96139"/>
    <w:rsid w:val="00DA0092"/>
    <w:rsid w:val="00DE2E9D"/>
    <w:rsid w:val="00E24404"/>
    <w:rsid w:val="00E609A9"/>
    <w:rsid w:val="00E961E3"/>
    <w:rsid w:val="00EB2B0A"/>
    <w:rsid w:val="00EB5670"/>
    <w:rsid w:val="00EF3606"/>
    <w:rsid w:val="00F11877"/>
    <w:rsid w:val="00F234BB"/>
    <w:rsid w:val="00F44CA3"/>
    <w:rsid w:val="00F97D83"/>
    <w:rsid w:val="00FC1D0D"/>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paragraph" w:styleId="NormalWeb">
    <w:name w:val="Normal (Web)"/>
    <w:basedOn w:val="Normal"/>
    <w:uiPriority w:val="99"/>
    <w:unhideWhenUsed/>
    <w:rsid w:val="0035057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footer" Target="footer2.xml"/><Relationship Id="rId26" Type="http://schemas.openxmlformats.org/officeDocument/2006/relationships/hyperlink" Target="https://www.equalityhumanrights.com/equality/equality-act-2010/your-rights-under-equality-act-2010/sex-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disability-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header" Target="header2.xml"/><Relationship Id="rId25" Type="http://schemas.openxmlformats.org/officeDocument/2006/relationships/hyperlink" Target="https://www.equalityhumanrights.com/equality/equality-act-2010/your-rights-under-equality-act-2010/religion-or-belief-discriminatio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qualityhumanrights.com/equality/equality-act-2010/your-rights-under-equality-act-2010/age-discrimination" TargetMode="External"/><Relationship Id="rId29" Type="http://schemas.openxmlformats.org/officeDocument/2006/relationships/hyperlink" Target="https://www.england.nhs.uk/greener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ace-discrimin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qualityhumanrights.com/en/our-work/managing-pregnancy-and-maternity-workplace" TargetMode="External"/><Relationship Id="rId28" Type="http://schemas.openxmlformats.org/officeDocument/2006/relationships/hyperlink" Target="https://www.bma.org.uk/media/3464/bma-climate-change-and-sustainability-paper-october-2020.pdf" TargetMode="External"/><Relationship Id="rId10" Type="http://schemas.openxmlformats.org/officeDocument/2006/relationships/endnotes" Target="endnotes.xml"/><Relationship Id="rId19" Type="http://schemas.openxmlformats.org/officeDocument/2006/relationships/hyperlink" Target="https://www.england.nhs.uk/wp-content/uploads/2021/04/nhsi-patient-experience-improvement-framework.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watchleeds.co.uk/reports-recommendations/2024/end-of-life-care/" TargetMode="External"/><Relationship Id="rId22" Type="http://schemas.openxmlformats.org/officeDocument/2006/relationships/hyperlink" Target="https://www.equalityhumanrights.com/equality/equality-act-2010/your-rights-under-equality-act-2010/gender-reassignment-discrimination" TargetMode="External"/><Relationship Id="rId27" Type="http://schemas.openxmlformats.org/officeDocument/2006/relationships/hyperlink" Target="https://www.equalityhumanrights.com/equality/equality-act-2010/your-rights-under-equality-act-2010/sexual-orientation-discrimination"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8" ma:contentTypeDescription="Create a new document." ma:contentTypeScope="" ma:versionID="62f8f3a8250fedc675a43daf349a3d4c">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ef68503eeed418bbd7e6b143a12e7f0b"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2.xml><?xml version="1.0" encoding="utf-8"?>
<ds:datastoreItem xmlns:ds="http://schemas.openxmlformats.org/officeDocument/2006/customXml" ds:itemID="{77F74D97-9E72-46AB-A4B6-DC4B2985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19</Pages>
  <Words>3791</Words>
  <Characters>24166</Characters>
  <Application>Microsoft Office Word</Application>
  <DocSecurity>4</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27902</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2024-10-25T12:23:00Z</dcterms:created>
  <dcterms:modified xsi:type="dcterms:W3CDTF">2024-10-25T12:23:00Z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